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7"/>
        <w:rPr>
          <w:sz w:val="21"/>
        </w:rPr>
      </w:pPr>
    </w:p>
    <w:p>
      <w:pPr>
        <w:spacing w:line="312" w:lineRule="auto" w:before="91"/>
        <w:ind w:left="2090" w:right="0" w:hanging="936"/>
        <w:jc w:val="left"/>
        <w:rPr>
          <w:sz w:val="32"/>
        </w:rPr>
      </w:pPr>
      <w:r>
        <w:rPr>
          <w:sz w:val="32"/>
        </w:rPr>
        <w:t>Bloody Mary’s Victims: The Iconogmphy of John Foxe’s Book of Martyrs</w:t>
      </w:r>
    </w:p>
    <w:p>
      <w:pPr>
        <w:pStyle w:val="Heading1"/>
        <w:spacing w:before="262"/>
        <w:ind w:left="3486" w:right="0"/>
        <w:rPr>
          <w:rFonts w:ascii="Times New Roman"/>
        </w:rPr>
      </w:pPr>
      <w:r>
        <w:rPr>
          <w:rFonts w:ascii="Times New Roman"/>
          <w:w w:val="105"/>
        </w:rPr>
        <w:t>0. T. Hargrave</w:t>
      </w:r>
    </w:p>
    <w:p>
      <w:pPr>
        <w:pStyle w:val="BodyText"/>
        <w:rPr>
          <w:sz w:val="24"/>
        </w:rPr>
      </w:pPr>
    </w:p>
    <w:p>
      <w:pPr>
        <w:pStyle w:val="BodyText"/>
        <w:rPr>
          <w:sz w:val="24"/>
        </w:rPr>
      </w:pPr>
    </w:p>
    <w:p>
      <w:pPr>
        <w:pStyle w:val="BodyText"/>
        <w:rPr>
          <w:sz w:val="24"/>
        </w:rPr>
      </w:pPr>
    </w:p>
    <w:p>
      <w:pPr>
        <w:pStyle w:val="BodyText"/>
        <w:spacing w:line="261" w:lineRule="auto" w:before="204"/>
        <w:ind w:left="1615" w:right="120" w:hanging="537"/>
        <w:jc w:val="both"/>
      </w:pPr>
      <w:r>
        <w:rPr>
          <w:w w:val="230"/>
        </w:rPr>
        <w:t>next </w:t>
      </w:r>
      <w:r>
        <w:rPr>
          <w:w w:val="110"/>
        </w:rPr>
        <w:t>to the English Bible, no other book enjoyed greater popularity among English Protestants in the sixteenth and seventeenth centuries than John Foxe’s “Book of Martyrs.” First published in English in</w:t>
      </w:r>
    </w:p>
    <w:p>
      <w:pPr>
        <w:pStyle w:val="BodyText"/>
        <w:spacing w:line="261" w:lineRule="auto" w:before="6"/>
        <w:ind w:left="1073" w:right="117" w:firstLine="7"/>
        <w:jc w:val="both"/>
      </w:pPr>
      <w:r>
        <w:rPr>
          <w:w w:val="110"/>
        </w:rPr>
        <w:t>1563, the book went through four editions during Foxe’s lifetime,  and  nine by 1684. Foxe’s work provided the most complete, perhaps the most con- vincing, and certainly the most absorbing account of the Marian persecution to reach the English</w:t>
      </w:r>
      <w:r>
        <w:rPr>
          <w:spacing w:val="10"/>
          <w:w w:val="110"/>
        </w:rPr>
        <w:t> </w:t>
      </w:r>
      <w:r>
        <w:rPr>
          <w:w w:val="110"/>
        </w:rPr>
        <w:t>public.</w:t>
      </w:r>
    </w:p>
    <w:p>
      <w:pPr>
        <w:pStyle w:val="BodyText"/>
        <w:spacing w:line="261" w:lineRule="auto" w:before="4"/>
        <w:ind w:left="1077" w:right="118" w:firstLine="202"/>
        <w:jc w:val="both"/>
      </w:pPr>
      <w:r>
        <w:rPr>
          <w:w w:val="110"/>
        </w:rPr>
        <w:t>From the beginning the text of the book was elaborately illustrated with graphically-drawn woodcuts. Numbering over one hundred, the anonymous- ly-crafted pictures portrayed a broad range of  subjects  and  scenes  drawn fom Foxe’s account. Although often overlooked by students of  the  period, the iconography of the book must have accounted in some significant mea- sure for Foxe’s</w:t>
      </w:r>
      <w:r>
        <w:rPr>
          <w:spacing w:val="-21"/>
          <w:w w:val="110"/>
        </w:rPr>
        <w:t> </w:t>
      </w:r>
      <w:r>
        <w:rPr>
          <w:w w:val="110"/>
        </w:rPr>
        <w:t>success.</w:t>
      </w:r>
    </w:p>
    <w:p>
      <w:pPr>
        <w:pStyle w:val="BodyText"/>
        <w:spacing w:line="264" w:lineRule="auto"/>
        <w:ind w:left="1081" w:right="119" w:firstLine="206"/>
        <w:jc w:val="both"/>
      </w:pPr>
      <w:r>
        <w:rPr>
          <w:w w:val="110"/>
        </w:rPr>
        <w:t>Mary Tudor succeeded to the English throne in July,  1553,  upon  the death of her younger half-brother Edward VI. Although she  enjoyed  an initial wave of acclaim, her popularity proved to be short-lived. Her mar- riage to Philip of Spain and her pursuit of formal reconciliation with Rome soon alienated many of her</w:t>
      </w:r>
      <w:r>
        <w:rPr>
          <w:spacing w:val="-5"/>
          <w:w w:val="110"/>
        </w:rPr>
        <w:t> </w:t>
      </w:r>
      <w:r>
        <w:rPr>
          <w:w w:val="110"/>
        </w:rPr>
        <w:t>subjects.</w:t>
      </w:r>
    </w:p>
    <w:p>
      <w:pPr>
        <w:pStyle w:val="BodyText"/>
        <w:spacing w:line="261" w:lineRule="auto"/>
        <w:ind w:left="1066" w:right="118" w:firstLine="221"/>
        <w:jc w:val="both"/>
      </w:pPr>
      <w:r>
        <w:rPr>
          <w:w w:val="110"/>
        </w:rPr>
        <w:t>Mary’s policy toward the English reformers was at first cautious and ten- tative. During the first year of her reign many Protestant leaders were al- lowed to flee the country, while others quietly  went  underground.  Those who persisted in their opposition to the new policies, however, were in due course arrested, imprisoned, and tried on one charge or another. When to- ward the end of 1554 Parliament voted to revive the medieval laws against heresy, Mary launched a direct and violent attack against the reformers. During the remaining four years of her reign approximately  275  persons were executed on her</w:t>
      </w:r>
      <w:r>
        <w:rPr>
          <w:spacing w:val="31"/>
          <w:w w:val="110"/>
        </w:rPr>
        <w:t> </w:t>
      </w:r>
      <w:r>
        <w:rPr>
          <w:w w:val="110"/>
        </w:rPr>
        <w:t>orders.</w:t>
      </w:r>
    </w:p>
    <w:p>
      <w:pPr>
        <w:pStyle w:val="BodyText"/>
        <w:spacing w:line="261" w:lineRule="auto"/>
        <w:ind w:left="1073" w:right="130" w:firstLine="199"/>
        <w:jc w:val="both"/>
      </w:pPr>
      <w:r>
        <w:rPr>
          <w:w w:val="105"/>
        </w:rPr>
        <w:t>Among Mary’s victims were several of the leading Protestant reformers, including Archbishop Thomas Cranmer and Bishops Hugh</w:t>
      </w:r>
      <w:r>
        <w:rPr>
          <w:spacing w:val="47"/>
          <w:w w:val="105"/>
        </w:rPr>
        <w:t> </w:t>
      </w:r>
      <w:r>
        <w:rPr>
          <w:w w:val="105"/>
        </w:rPr>
        <w:t>Latimer  and Nicholas Ridley. Other well known Protestants who suffered were</w:t>
      </w:r>
      <w:r>
        <w:rPr>
          <w:spacing w:val="20"/>
          <w:w w:val="105"/>
        </w:rPr>
        <w:t> </w:t>
      </w:r>
      <w:r>
        <w:rPr>
          <w:w w:val="105"/>
        </w:rPr>
        <w:t>John</w:t>
      </w:r>
    </w:p>
    <w:p>
      <w:pPr>
        <w:spacing w:line="247" w:lineRule="auto" w:before="125"/>
        <w:ind w:left="1046" w:right="116" w:firstLine="199"/>
        <w:jc w:val="both"/>
        <w:rPr>
          <w:i/>
          <w:sz w:val="16"/>
        </w:rPr>
      </w:pPr>
      <w:r>
        <w:rPr>
          <w:w w:val="110"/>
          <w:sz w:val="16"/>
        </w:rPr>
        <w:t>Mr. Hargrave is Associate Professor of History at Southern Methodist University. Illustrations are from the Special Collections of Bridwell  Library,  Southern  Meth- odist University—Editor’s</w:t>
      </w:r>
      <w:r>
        <w:rPr>
          <w:spacing w:val="-23"/>
          <w:w w:val="110"/>
          <w:sz w:val="16"/>
        </w:rPr>
        <w:t> </w:t>
      </w:r>
      <w:r>
        <w:rPr>
          <w:i/>
          <w:w w:val="110"/>
          <w:sz w:val="16"/>
        </w:rPr>
        <w:t>note.</w:t>
      </w:r>
    </w:p>
    <w:p>
      <w:pPr>
        <w:spacing w:after="0" w:line="247" w:lineRule="auto"/>
        <w:jc w:val="both"/>
        <w:rPr>
          <w:sz w:val="16"/>
        </w:rPr>
        <w:sectPr>
          <w:type w:val="continuous"/>
          <w:pgSz w:w="8400" w:h="13110"/>
          <w:pgMar w:top="1220" w:bottom="280" w:left="480" w:right="500"/>
        </w:sectPr>
      </w:pPr>
    </w:p>
    <w:p>
      <w:pPr>
        <w:pStyle w:val="BodyText"/>
        <w:tabs>
          <w:tab w:pos="2137" w:val="left" w:leader="none"/>
        </w:tabs>
        <w:spacing w:before="77"/>
        <w:ind w:left="139"/>
      </w:pPr>
      <w:r>
        <w:rPr>
          <w:rFonts w:ascii="Courier New"/>
          <w:color w:val="2F2F2F"/>
          <w:w w:val="110"/>
          <w:position w:val="2"/>
          <w:sz w:val="21"/>
        </w:rPr>
        <w:t>8</w:t>
        <w:tab/>
      </w:r>
      <w:r>
        <w:rPr>
          <w:color w:val="2D2D2D"/>
          <w:w w:val="110"/>
        </w:rPr>
        <w:t>HISTORICAL</w:t>
      </w:r>
      <w:r>
        <w:rPr>
          <w:color w:val="2D2D2D"/>
          <w:spacing w:val="4"/>
          <w:w w:val="110"/>
        </w:rPr>
        <w:t> </w:t>
      </w:r>
      <w:r>
        <w:rPr>
          <w:color w:val="2A2A2A"/>
          <w:w w:val="110"/>
        </w:rPr>
        <w:t>MAGAZINE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drawing>
          <wp:anchor distT="0" distB="0" distL="0" distR="0" allowOverlap="1" layoutInCell="1" locked="0" behindDoc="0" simplePos="0" relativeHeight="0">
            <wp:simplePos x="0" y="0"/>
            <wp:positionH relativeFrom="page">
              <wp:posOffset>1432525</wp:posOffset>
            </wp:positionH>
            <wp:positionV relativeFrom="paragraph">
              <wp:posOffset>153662</wp:posOffset>
            </wp:positionV>
            <wp:extent cx="1898858" cy="2414016"/>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898858" cy="2414016"/>
                    </a:xfrm>
                    <a:prstGeom prst="rect">
                      <a:avLst/>
                    </a:prstGeom>
                  </pic:spPr>
                </pic:pic>
              </a:graphicData>
            </a:graphic>
          </wp:anchor>
        </w:drawing>
      </w:r>
    </w:p>
    <w:p>
      <w:pPr>
        <w:pStyle w:val="BodyText"/>
        <w:spacing w:before="57"/>
        <w:ind w:left="2957" w:right="3877"/>
        <w:jc w:val="center"/>
      </w:pPr>
      <w:r>
        <w:rPr>
          <w:color w:val="2F2F2F"/>
          <w:w w:val="110"/>
        </w:rPr>
        <w:t>Plate </w:t>
      </w:r>
      <w:r>
        <w:rPr>
          <w:color w:val="232323"/>
          <w:w w:val="110"/>
        </w:rPr>
        <w:t>1</w:t>
      </w:r>
    </w:p>
    <w:p>
      <w:pPr>
        <w:pStyle w:val="BodyText"/>
        <w:spacing w:before="8"/>
        <w:rPr>
          <w:sz w:val="23"/>
        </w:rPr>
      </w:pPr>
    </w:p>
    <w:p>
      <w:pPr>
        <w:pStyle w:val="BodyText"/>
        <w:spacing w:line="259" w:lineRule="auto" w:before="1"/>
        <w:ind w:left="123" w:right="1067" w:firstLine="12"/>
        <w:jc w:val="both"/>
      </w:pPr>
      <w:r>
        <w:rPr>
          <w:color w:val="333333"/>
          <w:w w:val="110"/>
        </w:rPr>
        <w:t>Rogers, </w:t>
      </w:r>
      <w:r>
        <w:rPr>
          <w:color w:val="2F2F2F"/>
          <w:w w:val="110"/>
        </w:rPr>
        <w:t>the </w:t>
      </w:r>
      <w:r>
        <w:rPr>
          <w:color w:val="1A1A1A"/>
          <w:w w:val="110"/>
        </w:rPr>
        <w:t>biblical </w:t>
      </w:r>
      <w:r>
        <w:rPr>
          <w:color w:val="282828"/>
          <w:w w:val="110"/>
        </w:rPr>
        <w:t>translator </w:t>
      </w:r>
      <w:r>
        <w:rPr>
          <w:color w:val="2A2A2A"/>
          <w:w w:val="110"/>
        </w:rPr>
        <w:t>and </w:t>
      </w:r>
      <w:r>
        <w:rPr>
          <w:color w:val="2F2F2F"/>
          <w:w w:val="110"/>
        </w:rPr>
        <w:t>prebendary </w:t>
      </w:r>
      <w:r>
        <w:rPr>
          <w:color w:val="282828"/>
          <w:w w:val="110"/>
        </w:rPr>
        <w:t>at St. </w:t>
      </w:r>
      <w:r>
        <w:rPr>
          <w:color w:val="2A2A2A"/>
          <w:w w:val="110"/>
        </w:rPr>
        <w:t>Paul’s, </w:t>
      </w:r>
      <w:r>
        <w:rPr>
          <w:color w:val="2B2B2B"/>
          <w:w w:val="110"/>
        </w:rPr>
        <w:t>Bishop </w:t>
      </w:r>
      <w:r>
        <w:rPr>
          <w:color w:val="282828"/>
          <w:w w:val="110"/>
        </w:rPr>
        <w:t>John </w:t>
      </w:r>
      <w:r>
        <w:rPr>
          <w:color w:val="313131"/>
          <w:w w:val="110"/>
        </w:rPr>
        <w:t>Hooper </w:t>
      </w:r>
      <w:r>
        <w:rPr>
          <w:color w:val="2B2B2B"/>
          <w:w w:val="110"/>
        </w:rPr>
        <w:t>of </w:t>
      </w:r>
      <w:r>
        <w:rPr>
          <w:color w:val="2A2A2A"/>
          <w:w w:val="110"/>
        </w:rPr>
        <w:t>Gloucester, Bishop Robert </w:t>
      </w:r>
      <w:r>
        <w:rPr>
          <w:color w:val="2F2F2F"/>
          <w:w w:val="110"/>
        </w:rPr>
        <w:t>Ferrar of </w:t>
      </w:r>
      <w:r>
        <w:rPr>
          <w:color w:val="2B2B2B"/>
          <w:w w:val="110"/>
        </w:rPr>
        <w:t>St. </w:t>
      </w:r>
      <w:r>
        <w:rPr>
          <w:color w:val="2A2A2A"/>
          <w:w w:val="110"/>
        </w:rPr>
        <w:t>David’s </w:t>
      </w:r>
      <w:r>
        <w:rPr>
          <w:color w:val="262626"/>
          <w:w w:val="110"/>
        </w:rPr>
        <w:t>in </w:t>
      </w:r>
      <w:r>
        <w:rPr>
          <w:color w:val="2B2B2B"/>
          <w:w w:val="110"/>
        </w:rPr>
        <w:t>Wales, </w:t>
      </w:r>
      <w:r>
        <w:rPr>
          <w:color w:val="2A2A2A"/>
          <w:w w:val="110"/>
        </w:rPr>
        <w:t>Dr. </w:t>
      </w:r>
      <w:r>
        <w:rPr>
          <w:color w:val="282828"/>
          <w:w w:val="110"/>
        </w:rPr>
        <w:t>Rowland </w:t>
      </w:r>
      <w:r>
        <w:rPr>
          <w:color w:val="2D2D2D"/>
          <w:w w:val="110"/>
        </w:rPr>
        <w:t>Taylor </w:t>
      </w:r>
      <w:r>
        <w:rPr>
          <w:color w:val="212121"/>
          <w:w w:val="110"/>
        </w:rPr>
        <w:t>of </w:t>
      </w:r>
      <w:r>
        <w:rPr>
          <w:color w:val="1F1F1F"/>
          <w:w w:val="110"/>
        </w:rPr>
        <w:t>Hadleigh, </w:t>
      </w:r>
      <w:r>
        <w:rPr>
          <w:color w:val="313131"/>
          <w:w w:val="110"/>
        </w:rPr>
        <w:t>and </w:t>
      </w:r>
      <w:r>
        <w:rPr>
          <w:color w:val="383838"/>
          <w:w w:val="110"/>
        </w:rPr>
        <w:t>the </w:t>
      </w:r>
      <w:r>
        <w:rPr>
          <w:color w:val="2B2B2B"/>
          <w:w w:val="110"/>
        </w:rPr>
        <w:t>noted </w:t>
      </w:r>
      <w:r>
        <w:rPr>
          <w:color w:val="282828"/>
          <w:w w:val="110"/>
        </w:rPr>
        <w:t>preacher </w:t>
      </w:r>
      <w:r>
        <w:rPr>
          <w:color w:val="333333"/>
          <w:w w:val="110"/>
        </w:rPr>
        <w:t>John </w:t>
      </w:r>
      <w:r>
        <w:rPr>
          <w:color w:val="2F2F2F"/>
          <w:w w:val="110"/>
        </w:rPr>
        <w:t>Bradford.  </w:t>
      </w:r>
      <w:r>
        <w:rPr>
          <w:color w:val="2B2B2B"/>
          <w:w w:val="110"/>
        </w:rPr>
        <w:t>Scores of </w:t>
      </w:r>
      <w:r>
        <w:rPr>
          <w:color w:val="262626"/>
          <w:w w:val="110"/>
        </w:rPr>
        <w:t>others of </w:t>
      </w:r>
      <w:r>
        <w:rPr>
          <w:color w:val="2D2D2D"/>
          <w:w w:val="110"/>
        </w:rPr>
        <w:t>lesser </w:t>
      </w:r>
      <w:r>
        <w:rPr>
          <w:color w:val="2A2A2A"/>
          <w:w w:val="110"/>
        </w:rPr>
        <w:t>stature, </w:t>
      </w:r>
      <w:r>
        <w:rPr>
          <w:color w:val="232323"/>
          <w:w w:val="110"/>
        </w:rPr>
        <w:t>among </w:t>
      </w:r>
      <w:r>
        <w:rPr>
          <w:color w:val="333333"/>
          <w:w w:val="110"/>
        </w:rPr>
        <w:t>whom </w:t>
      </w:r>
      <w:r>
        <w:rPr>
          <w:color w:val="383838"/>
          <w:w w:val="110"/>
        </w:rPr>
        <w:t>as </w:t>
      </w:r>
      <w:r>
        <w:rPr>
          <w:color w:val="343434"/>
          <w:w w:val="110"/>
        </w:rPr>
        <w:t>many </w:t>
      </w:r>
      <w:r>
        <w:rPr>
          <w:color w:val="282828"/>
          <w:w w:val="110"/>
        </w:rPr>
        <w:t>as </w:t>
      </w:r>
      <w:r>
        <w:rPr>
          <w:color w:val="313131"/>
          <w:w w:val="110"/>
        </w:rPr>
        <w:t>50 </w:t>
      </w:r>
      <w:r>
        <w:rPr>
          <w:color w:val="343434"/>
          <w:w w:val="110"/>
        </w:rPr>
        <w:t>were </w:t>
      </w:r>
      <w:r>
        <w:rPr>
          <w:color w:val="282828"/>
          <w:w w:val="110"/>
        </w:rPr>
        <w:t>women, were </w:t>
      </w:r>
      <w:r>
        <w:rPr>
          <w:color w:val="313131"/>
          <w:w w:val="110"/>
        </w:rPr>
        <w:t>also </w:t>
      </w:r>
      <w:r>
        <w:rPr>
          <w:color w:val="282828"/>
          <w:w w:val="110"/>
        </w:rPr>
        <w:t>included </w:t>
      </w:r>
      <w:r>
        <w:rPr>
          <w:color w:val="2B2B2B"/>
          <w:w w:val="110"/>
        </w:rPr>
        <w:t>among </w:t>
      </w:r>
      <w:r>
        <w:rPr>
          <w:color w:val="262626"/>
          <w:w w:val="110"/>
        </w:rPr>
        <w:t>the</w:t>
      </w:r>
      <w:r>
        <w:rPr>
          <w:color w:val="262626"/>
          <w:spacing w:val="34"/>
          <w:w w:val="110"/>
        </w:rPr>
        <w:t> </w:t>
      </w:r>
      <w:r>
        <w:rPr>
          <w:color w:val="262626"/>
          <w:w w:val="110"/>
        </w:rPr>
        <w:t>victims.</w:t>
      </w:r>
    </w:p>
    <w:p>
      <w:pPr>
        <w:pStyle w:val="BodyText"/>
        <w:spacing w:line="264" w:lineRule="auto" w:before="5"/>
        <w:ind w:left="123" w:right="1070" w:firstLine="199"/>
        <w:jc w:val="both"/>
      </w:pPr>
      <w:r>
        <w:rPr>
          <w:color w:val="2F2F2F"/>
          <w:w w:val="105"/>
        </w:rPr>
        <w:t>Judged</w:t>
      </w:r>
      <w:r>
        <w:rPr>
          <w:color w:val="2F2F2F"/>
          <w:spacing w:val="47"/>
          <w:w w:val="105"/>
        </w:rPr>
        <w:t> </w:t>
      </w:r>
      <w:r>
        <w:rPr>
          <w:color w:val="333333"/>
          <w:w w:val="105"/>
        </w:rPr>
        <w:t>by  </w:t>
      </w:r>
      <w:r>
        <w:rPr>
          <w:color w:val="262626"/>
          <w:w w:val="105"/>
        </w:rPr>
        <w:t>contemporary  </w:t>
      </w:r>
      <w:r>
        <w:rPr>
          <w:color w:val="2A2A2A"/>
          <w:w w:val="105"/>
        </w:rPr>
        <w:t>continental  </w:t>
      </w:r>
      <w:r>
        <w:rPr>
          <w:color w:val="262626"/>
          <w:w w:val="105"/>
        </w:rPr>
        <w:t>standards   </w:t>
      </w:r>
      <w:r>
        <w:rPr>
          <w:color w:val="2F2F2F"/>
          <w:w w:val="105"/>
        </w:rPr>
        <w:t>the  religious   </w:t>
      </w:r>
      <w:r>
        <w:rPr>
          <w:color w:val="2B2B2B"/>
          <w:w w:val="105"/>
        </w:rPr>
        <w:t>persecution </w:t>
      </w:r>
      <w:r>
        <w:rPr>
          <w:color w:val="2D2D2D"/>
          <w:w w:val="105"/>
        </w:rPr>
        <w:t>of </w:t>
      </w:r>
      <w:r>
        <w:rPr>
          <w:color w:val="1C1C1C"/>
          <w:w w:val="105"/>
        </w:rPr>
        <w:t>Main’s </w:t>
      </w:r>
      <w:r>
        <w:rPr>
          <w:color w:val="262626"/>
          <w:w w:val="105"/>
        </w:rPr>
        <w:t>reign </w:t>
      </w:r>
      <w:r>
        <w:rPr>
          <w:color w:val="232323"/>
          <w:w w:val="105"/>
        </w:rPr>
        <w:t>may </w:t>
      </w:r>
      <w:r>
        <w:rPr>
          <w:color w:val="2F2F2F"/>
          <w:w w:val="105"/>
        </w:rPr>
        <w:t>not </w:t>
      </w:r>
      <w:r>
        <w:rPr>
          <w:color w:val="2A2A2A"/>
          <w:w w:val="105"/>
        </w:rPr>
        <w:t>have  </w:t>
      </w:r>
      <w:r>
        <w:rPr>
          <w:color w:val="2B2B2B"/>
          <w:w w:val="105"/>
        </w:rPr>
        <w:t>been  excessive.  </w:t>
      </w:r>
      <w:r>
        <w:rPr>
          <w:color w:val="2F2F2F"/>
          <w:w w:val="105"/>
        </w:rPr>
        <w:t>But  </w:t>
      </w:r>
      <w:r>
        <w:rPr>
          <w:color w:val="363636"/>
          <w:w w:val="105"/>
        </w:rPr>
        <w:t>it  </w:t>
      </w:r>
      <w:r>
        <w:rPr>
          <w:color w:val="282828"/>
          <w:w w:val="105"/>
        </w:rPr>
        <w:t>was  </w:t>
      </w:r>
      <w:r>
        <w:rPr>
          <w:color w:val="262626"/>
          <w:w w:val="105"/>
        </w:rPr>
        <w:t>unprecedented  </w:t>
      </w:r>
      <w:r>
        <w:rPr>
          <w:color w:val="2D2D2D"/>
          <w:w w:val="105"/>
        </w:rPr>
        <w:t>in </w:t>
      </w:r>
      <w:r>
        <w:rPr>
          <w:color w:val="2F2F2F"/>
          <w:w w:val="105"/>
        </w:rPr>
        <w:t>the </w:t>
      </w:r>
      <w:r>
        <w:rPr>
          <w:color w:val="313131"/>
          <w:w w:val="105"/>
        </w:rPr>
        <w:t>English </w:t>
      </w:r>
      <w:r>
        <w:rPr>
          <w:color w:val="2F2F2F"/>
          <w:w w:val="105"/>
        </w:rPr>
        <w:t>experience </w:t>
      </w:r>
      <w:r>
        <w:rPr>
          <w:color w:val="333333"/>
          <w:w w:val="105"/>
        </w:rPr>
        <w:t>and </w:t>
      </w:r>
      <w:r>
        <w:rPr>
          <w:color w:val="383838"/>
          <w:w w:val="105"/>
        </w:rPr>
        <w:t>by </w:t>
      </w:r>
      <w:r>
        <w:rPr>
          <w:color w:val="2A2A2A"/>
          <w:w w:val="105"/>
        </w:rPr>
        <w:t>Mary’s </w:t>
      </w:r>
      <w:r>
        <w:rPr>
          <w:color w:val="2F2F2F"/>
          <w:w w:val="105"/>
        </w:rPr>
        <w:t>death </w:t>
      </w:r>
      <w:r>
        <w:rPr>
          <w:color w:val="383838"/>
          <w:w w:val="105"/>
        </w:rPr>
        <w:t>in </w:t>
      </w:r>
      <w:r>
        <w:rPr>
          <w:color w:val="2B2B2B"/>
          <w:w w:val="105"/>
        </w:rPr>
        <w:t>1558 </w:t>
      </w:r>
      <w:r>
        <w:rPr>
          <w:color w:val="2F2F2F"/>
          <w:w w:val="105"/>
        </w:rPr>
        <w:t>had </w:t>
      </w:r>
      <w:r>
        <w:rPr>
          <w:color w:val="282828"/>
          <w:w w:val="105"/>
        </w:rPr>
        <w:t>succeeded </w:t>
      </w:r>
      <w:r>
        <w:rPr>
          <w:color w:val="333333"/>
          <w:w w:val="105"/>
        </w:rPr>
        <w:t>only </w:t>
      </w:r>
      <w:r>
        <w:rPr>
          <w:color w:val="2F2F2F"/>
          <w:w w:val="105"/>
        </w:rPr>
        <w:t>in </w:t>
      </w:r>
      <w:r>
        <w:rPr>
          <w:color w:val="2A2A2A"/>
          <w:w w:val="105"/>
        </w:rPr>
        <w:t>alienating </w:t>
      </w:r>
      <w:r>
        <w:rPr>
          <w:color w:val="363636"/>
          <w:w w:val="105"/>
        </w:rPr>
        <w:t>much </w:t>
      </w:r>
      <w:r>
        <w:rPr>
          <w:color w:val="2F2F2F"/>
          <w:w w:val="105"/>
        </w:rPr>
        <w:t>of </w:t>
      </w:r>
      <w:r>
        <w:rPr>
          <w:color w:val="313131"/>
          <w:w w:val="105"/>
        </w:rPr>
        <w:t>the </w:t>
      </w:r>
      <w:r>
        <w:rPr>
          <w:color w:val="333333"/>
          <w:w w:val="105"/>
        </w:rPr>
        <w:t>country. </w:t>
      </w:r>
      <w:r>
        <w:rPr>
          <w:color w:val="2B2B2B"/>
          <w:w w:val="105"/>
        </w:rPr>
        <w:t>From </w:t>
      </w:r>
      <w:r>
        <w:rPr>
          <w:color w:val="2F2F2F"/>
          <w:w w:val="105"/>
        </w:rPr>
        <w:t>his exile in </w:t>
      </w:r>
      <w:r>
        <w:rPr>
          <w:color w:val="2D2D2D"/>
          <w:w w:val="105"/>
        </w:rPr>
        <w:t>Geneva</w:t>
      </w:r>
      <w:r>
        <w:rPr>
          <w:color w:val="2D2D2D"/>
          <w:spacing w:val="47"/>
          <w:w w:val="105"/>
        </w:rPr>
        <w:t> </w:t>
      </w:r>
      <w:r>
        <w:rPr>
          <w:color w:val="363636"/>
          <w:w w:val="105"/>
        </w:rPr>
        <w:t>John  </w:t>
      </w:r>
      <w:r>
        <w:rPr>
          <w:color w:val="2A2A2A"/>
          <w:w w:val="105"/>
        </w:rPr>
        <w:t>Knox  </w:t>
      </w:r>
      <w:r>
        <w:rPr>
          <w:color w:val="2D2D2D"/>
          <w:w w:val="105"/>
        </w:rPr>
        <w:t>ex- </w:t>
      </w:r>
      <w:r>
        <w:rPr>
          <w:color w:val="2B2B2B"/>
          <w:w w:val="105"/>
        </w:rPr>
        <w:t>pressed </w:t>
      </w:r>
      <w:r>
        <w:rPr>
          <w:color w:val="2A2A2A"/>
          <w:w w:val="105"/>
        </w:rPr>
        <w:t>the feelings </w:t>
      </w:r>
      <w:r>
        <w:rPr>
          <w:color w:val="3F3F3F"/>
          <w:w w:val="105"/>
        </w:rPr>
        <w:t>of </w:t>
      </w:r>
      <w:r>
        <w:rPr>
          <w:color w:val="282828"/>
          <w:w w:val="105"/>
        </w:rPr>
        <w:t>many </w:t>
      </w:r>
      <w:r>
        <w:rPr>
          <w:color w:val="2A2A2A"/>
          <w:w w:val="105"/>
        </w:rPr>
        <w:t>Englishmen when </w:t>
      </w:r>
      <w:r>
        <w:rPr>
          <w:color w:val="333333"/>
          <w:w w:val="105"/>
        </w:rPr>
        <w:t>he </w:t>
      </w:r>
      <w:r>
        <w:rPr>
          <w:color w:val="232323"/>
          <w:w w:val="105"/>
        </w:rPr>
        <w:t>wrote of </w:t>
      </w:r>
      <w:r>
        <w:rPr>
          <w:color w:val="3A3A3A"/>
          <w:w w:val="105"/>
        </w:rPr>
        <w:t>the </w:t>
      </w:r>
      <w:r>
        <w:rPr>
          <w:color w:val="232323"/>
          <w:w w:val="105"/>
        </w:rPr>
        <w:t>“monstrous </w:t>
      </w:r>
      <w:r>
        <w:rPr>
          <w:color w:val="2D2D2D"/>
          <w:w w:val="105"/>
        </w:rPr>
        <w:t>crueltie” </w:t>
      </w:r>
      <w:r>
        <w:rPr>
          <w:color w:val="282828"/>
          <w:w w:val="105"/>
        </w:rPr>
        <w:t>of “that </w:t>
      </w:r>
      <w:r>
        <w:rPr>
          <w:color w:val="2A2A2A"/>
          <w:w w:val="105"/>
        </w:rPr>
        <w:t>professed enemie </w:t>
      </w:r>
      <w:r>
        <w:rPr>
          <w:color w:val="383838"/>
          <w:w w:val="105"/>
        </w:rPr>
        <w:t>of </w:t>
      </w:r>
      <w:r>
        <w:rPr>
          <w:color w:val="3A3A3A"/>
          <w:w w:val="105"/>
        </w:rPr>
        <w:t>God, </w:t>
      </w:r>
      <w:r>
        <w:rPr>
          <w:color w:val="282828"/>
          <w:w w:val="105"/>
        </w:rPr>
        <w:t>mischievous</w:t>
      </w:r>
      <w:r>
        <w:rPr>
          <w:color w:val="282828"/>
          <w:spacing w:val="10"/>
          <w:w w:val="105"/>
        </w:rPr>
        <w:t> </w:t>
      </w:r>
      <w:r>
        <w:rPr>
          <w:color w:val="1F1F1F"/>
          <w:w w:val="105"/>
        </w:rPr>
        <w:t>Mary.”'</w:t>
      </w:r>
    </w:p>
    <w:p>
      <w:pPr>
        <w:pStyle w:val="BodyText"/>
        <w:spacing w:line="259" w:lineRule="auto" w:before="2"/>
        <w:ind w:left="120" w:right="1073" w:firstLine="205"/>
        <w:jc w:val="both"/>
      </w:pPr>
      <w:r>
        <w:rPr>
          <w:color w:val="313131"/>
          <w:w w:val="110"/>
        </w:rPr>
        <w:t>It </w:t>
      </w:r>
      <w:r>
        <w:rPr>
          <w:color w:val="2B2B2B"/>
          <w:w w:val="110"/>
        </w:rPr>
        <w:t>was </w:t>
      </w:r>
      <w:r>
        <w:rPr>
          <w:color w:val="2F2F2F"/>
          <w:w w:val="110"/>
        </w:rPr>
        <w:t>the </w:t>
      </w:r>
      <w:r>
        <w:rPr>
          <w:color w:val="313131"/>
          <w:w w:val="110"/>
        </w:rPr>
        <w:t>work </w:t>
      </w:r>
      <w:r>
        <w:rPr>
          <w:color w:val="2A2A2A"/>
          <w:w w:val="110"/>
        </w:rPr>
        <w:t>of Knox’s </w:t>
      </w:r>
      <w:r>
        <w:rPr>
          <w:color w:val="262626"/>
          <w:w w:val="110"/>
        </w:rPr>
        <w:t>fellow </w:t>
      </w:r>
      <w:r>
        <w:rPr>
          <w:color w:val="2D2D2D"/>
          <w:w w:val="110"/>
        </w:rPr>
        <w:t>exile </w:t>
      </w:r>
      <w:r>
        <w:rPr>
          <w:color w:val="2B2B2B"/>
          <w:w w:val="110"/>
        </w:rPr>
        <w:t>and </w:t>
      </w:r>
      <w:r>
        <w:rPr>
          <w:color w:val="232323"/>
          <w:w w:val="110"/>
        </w:rPr>
        <w:t>historian-martpñologist </w:t>
      </w:r>
      <w:r>
        <w:rPr>
          <w:color w:val="2B2B2B"/>
          <w:w w:val="110"/>
        </w:rPr>
        <w:t>extra- </w:t>
      </w:r>
      <w:r>
        <w:rPr>
          <w:color w:val="232323"/>
          <w:w w:val="110"/>
        </w:rPr>
        <w:t>ordinaire </w:t>
      </w:r>
      <w:r>
        <w:rPr>
          <w:color w:val="262626"/>
          <w:w w:val="110"/>
        </w:rPr>
        <w:t>John </w:t>
      </w:r>
      <w:r>
        <w:rPr>
          <w:color w:val="2B2B2B"/>
          <w:w w:val="110"/>
        </w:rPr>
        <w:t>Foxe, however, </w:t>
      </w:r>
      <w:r>
        <w:rPr>
          <w:color w:val="343434"/>
          <w:w w:val="110"/>
        </w:rPr>
        <w:t>which </w:t>
      </w:r>
      <w:r>
        <w:rPr>
          <w:color w:val="313131"/>
          <w:w w:val="110"/>
        </w:rPr>
        <w:t>did </w:t>
      </w:r>
      <w:r>
        <w:rPr>
          <w:color w:val="383838"/>
          <w:w w:val="110"/>
        </w:rPr>
        <w:t>the </w:t>
      </w:r>
      <w:r>
        <w:rPr>
          <w:color w:val="313131"/>
          <w:w w:val="110"/>
        </w:rPr>
        <w:t>most </w:t>
      </w:r>
      <w:r>
        <w:rPr>
          <w:color w:val="343434"/>
          <w:w w:val="110"/>
        </w:rPr>
        <w:t>to </w:t>
      </w:r>
      <w:r>
        <w:rPr>
          <w:color w:val="212121"/>
          <w:w w:val="110"/>
        </w:rPr>
        <w:t>perpetuate </w:t>
      </w:r>
      <w:r>
        <w:rPr>
          <w:color w:val="2B2B2B"/>
          <w:w w:val="110"/>
        </w:rPr>
        <w:t>anti-Marian </w:t>
      </w:r>
      <w:r>
        <w:rPr>
          <w:color w:val="282828"/>
          <w:w w:val="110"/>
        </w:rPr>
        <w:t>sentiment [see plate </w:t>
      </w:r>
      <w:r>
        <w:rPr>
          <w:color w:val="262626"/>
          <w:w w:val="110"/>
        </w:rPr>
        <w:t>1]. </w:t>
      </w:r>
      <w:r>
        <w:rPr>
          <w:color w:val="2F2F2F"/>
          <w:w w:val="110"/>
        </w:rPr>
        <w:t>Foxe’s </w:t>
      </w:r>
      <w:r>
        <w:rPr>
          <w:color w:val="2B2B2B"/>
          <w:w w:val="110"/>
        </w:rPr>
        <w:t>Book </w:t>
      </w:r>
      <w:r>
        <w:rPr>
          <w:color w:val="282828"/>
          <w:w w:val="110"/>
        </w:rPr>
        <w:t>of Martyrs </w:t>
      </w:r>
      <w:r>
        <w:rPr>
          <w:color w:val="212121"/>
          <w:w w:val="110"/>
        </w:rPr>
        <w:t>masterfully exploited </w:t>
      </w:r>
      <w:r>
        <w:rPr>
          <w:color w:val="262626"/>
          <w:w w:val="110"/>
        </w:rPr>
        <w:t>the </w:t>
      </w:r>
      <w:r>
        <w:rPr>
          <w:color w:val="2F2F2F"/>
          <w:w w:val="110"/>
        </w:rPr>
        <w:t>Marian </w:t>
      </w:r>
      <w:r>
        <w:rPr>
          <w:color w:val="1D1D1D"/>
          <w:w w:val="110"/>
        </w:rPr>
        <w:t>persecution, </w:t>
      </w:r>
      <w:r>
        <w:rPr>
          <w:color w:val="2A2A2A"/>
          <w:w w:val="110"/>
        </w:rPr>
        <w:t>converting </w:t>
      </w:r>
      <w:r>
        <w:rPr>
          <w:color w:val="3A3A3A"/>
          <w:w w:val="110"/>
        </w:rPr>
        <w:t>it, </w:t>
      </w:r>
      <w:r>
        <w:rPr>
          <w:color w:val="2F2F2F"/>
          <w:w w:val="110"/>
        </w:rPr>
        <w:t>as </w:t>
      </w:r>
      <w:r>
        <w:rPr>
          <w:color w:val="262626"/>
          <w:w w:val="110"/>
        </w:rPr>
        <w:t>Gordon Rupp </w:t>
      </w:r>
      <w:r>
        <w:rPr>
          <w:color w:val="343434"/>
          <w:w w:val="110"/>
        </w:rPr>
        <w:t>put </w:t>
      </w:r>
      <w:r>
        <w:rPr>
          <w:color w:val="262626"/>
          <w:w w:val="110"/>
        </w:rPr>
        <w:t>it, </w:t>
      </w:r>
      <w:r>
        <w:rPr>
          <w:color w:val="282828"/>
          <w:w w:val="110"/>
        </w:rPr>
        <w:t>into </w:t>
      </w:r>
      <w:r>
        <w:rPr>
          <w:color w:val="2B2B2B"/>
          <w:w w:val="110"/>
        </w:rPr>
        <w:t>“the </w:t>
      </w:r>
      <w:r>
        <w:rPr>
          <w:color w:val="1D1D1D"/>
          <w:w w:val="110"/>
        </w:rPr>
        <w:t>greatest </w:t>
      </w:r>
      <w:r>
        <w:rPr>
          <w:color w:val="2A2A2A"/>
          <w:w w:val="110"/>
        </w:rPr>
        <w:t>single </w:t>
      </w:r>
      <w:r>
        <w:rPr>
          <w:color w:val="363636"/>
          <w:w w:val="110"/>
        </w:rPr>
        <w:t>act of </w:t>
      </w:r>
      <w:r>
        <w:rPr>
          <w:color w:val="232323"/>
          <w:w w:val="110"/>
        </w:rPr>
        <w:t>propaganda </w:t>
      </w:r>
      <w:r>
        <w:rPr>
          <w:color w:val="313131"/>
          <w:w w:val="110"/>
        </w:rPr>
        <w:t>in </w:t>
      </w:r>
      <w:r>
        <w:rPr>
          <w:color w:val="282828"/>
          <w:w w:val="110"/>
        </w:rPr>
        <w:t>history.”°</w:t>
      </w:r>
    </w:p>
    <w:p>
      <w:pPr>
        <w:pStyle w:val="BodyText"/>
        <w:spacing w:line="264" w:lineRule="auto" w:before="1"/>
        <w:ind w:left="114" w:right="1053" w:firstLine="215"/>
        <w:jc w:val="both"/>
      </w:pPr>
      <w:r>
        <w:rPr>
          <w:color w:val="282828"/>
          <w:w w:val="110"/>
        </w:rPr>
        <w:t>Upon </w:t>
      </w:r>
      <w:r>
        <w:rPr>
          <w:color w:val="2A2A2A"/>
          <w:w w:val="110"/>
        </w:rPr>
        <w:t>Mary’s </w:t>
      </w:r>
      <w:r>
        <w:rPr>
          <w:color w:val="2F2F2F"/>
          <w:w w:val="110"/>
        </w:rPr>
        <w:t>accession to </w:t>
      </w:r>
      <w:r>
        <w:rPr>
          <w:color w:val="363636"/>
          <w:w w:val="110"/>
        </w:rPr>
        <w:t>the </w:t>
      </w:r>
      <w:r>
        <w:rPr>
          <w:color w:val="262626"/>
          <w:w w:val="110"/>
        </w:rPr>
        <w:t>throne </w:t>
      </w:r>
      <w:r>
        <w:rPr>
          <w:color w:val="232323"/>
          <w:w w:val="110"/>
        </w:rPr>
        <w:t>Foxe </w:t>
      </w:r>
      <w:r>
        <w:rPr>
          <w:color w:val="262626"/>
          <w:w w:val="110"/>
        </w:rPr>
        <w:t>had </w:t>
      </w:r>
      <w:r>
        <w:rPr>
          <w:color w:val="2B2B2B"/>
          <w:w w:val="110"/>
        </w:rPr>
        <w:t>fled </w:t>
      </w:r>
      <w:r>
        <w:rPr>
          <w:color w:val="343434"/>
          <w:w w:val="110"/>
        </w:rPr>
        <w:t>to </w:t>
      </w:r>
      <w:r>
        <w:rPr>
          <w:color w:val="282828"/>
          <w:w w:val="110"/>
        </w:rPr>
        <w:t>the  </w:t>
      </w:r>
      <w:r>
        <w:rPr>
          <w:color w:val="2B2B2B"/>
          <w:w w:val="110"/>
        </w:rPr>
        <w:t>continent, first  </w:t>
      </w:r>
      <w:r>
        <w:rPr>
          <w:color w:val="282828"/>
          <w:w w:val="110"/>
        </w:rPr>
        <w:t>to </w:t>
      </w:r>
      <w:r>
        <w:rPr>
          <w:color w:val="2A2A2A"/>
          <w:w w:val="110"/>
        </w:rPr>
        <w:t>Strassburg, </w:t>
      </w:r>
      <w:r>
        <w:rPr>
          <w:color w:val="313131"/>
          <w:w w:val="110"/>
        </w:rPr>
        <w:t>then Frankfurt, </w:t>
      </w:r>
      <w:r>
        <w:rPr>
          <w:color w:val="232323"/>
          <w:w w:val="110"/>
        </w:rPr>
        <w:t>and finally </w:t>
      </w:r>
      <w:r>
        <w:rPr>
          <w:color w:val="161616"/>
          <w:w w:val="110"/>
        </w:rPr>
        <w:t>Basel. </w:t>
      </w:r>
      <w:r>
        <w:rPr>
          <w:color w:val="2F2F2F"/>
          <w:w w:val="110"/>
        </w:rPr>
        <w:t>He </w:t>
      </w:r>
      <w:r>
        <w:rPr>
          <w:color w:val="2D2D2D"/>
          <w:w w:val="110"/>
        </w:rPr>
        <w:t>had  </w:t>
      </w:r>
      <w:r>
        <w:rPr>
          <w:color w:val="262626"/>
          <w:w w:val="110"/>
        </w:rPr>
        <w:t>returned  </w:t>
      </w:r>
      <w:r>
        <w:rPr>
          <w:color w:val="2B2B2B"/>
          <w:w w:val="110"/>
        </w:rPr>
        <w:t>to </w:t>
      </w:r>
      <w:r>
        <w:rPr>
          <w:color w:val="282828"/>
          <w:w w:val="110"/>
        </w:rPr>
        <w:t>England </w:t>
      </w:r>
      <w:r>
        <w:rPr>
          <w:color w:val="3A3A3A"/>
          <w:w w:val="110"/>
        </w:rPr>
        <w:t>in </w:t>
      </w:r>
      <w:r>
        <w:rPr>
          <w:color w:val="2F2F2F"/>
          <w:w w:val="110"/>
        </w:rPr>
        <w:t>November, </w:t>
      </w:r>
      <w:r>
        <w:rPr>
          <w:color w:val="2B2B2B"/>
          <w:w w:val="110"/>
        </w:rPr>
        <w:t>1559, </w:t>
      </w:r>
      <w:r>
        <w:rPr>
          <w:color w:val="282828"/>
          <w:w w:val="110"/>
        </w:rPr>
        <w:t>where </w:t>
      </w:r>
      <w:r>
        <w:rPr>
          <w:color w:val="333333"/>
          <w:w w:val="110"/>
        </w:rPr>
        <w:t>he </w:t>
      </w:r>
      <w:r>
        <w:rPr>
          <w:color w:val="2B2B2B"/>
          <w:w w:val="110"/>
        </w:rPr>
        <w:t>had </w:t>
      </w:r>
      <w:r>
        <w:rPr>
          <w:color w:val="232323"/>
          <w:w w:val="110"/>
        </w:rPr>
        <w:t>formed </w:t>
      </w:r>
      <w:r>
        <w:rPr>
          <w:color w:val="262626"/>
          <w:w w:val="110"/>
        </w:rPr>
        <w:t>a </w:t>
      </w:r>
      <w:r>
        <w:rPr>
          <w:color w:val="2A2A2A"/>
          <w:w w:val="110"/>
        </w:rPr>
        <w:t>lasting  </w:t>
      </w:r>
      <w:r>
        <w:rPr>
          <w:color w:val="282828"/>
          <w:w w:val="110"/>
        </w:rPr>
        <w:t>association  </w:t>
      </w:r>
      <w:r>
        <w:rPr>
          <w:color w:val="2B2B2B"/>
          <w:w w:val="110"/>
        </w:rPr>
        <w:t>with </w:t>
      </w:r>
      <w:r>
        <w:rPr>
          <w:color w:val="2F2F2F"/>
          <w:w w:val="110"/>
        </w:rPr>
        <w:t>the</w:t>
      </w:r>
      <w:r>
        <w:rPr>
          <w:color w:val="2F2F2F"/>
          <w:spacing w:val="24"/>
          <w:w w:val="110"/>
        </w:rPr>
        <w:t> </w:t>
      </w:r>
      <w:r>
        <w:rPr>
          <w:color w:val="2A2A2A"/>
          <w:w w:val="110"/>
        </w:rPr>
        <w:t>Lon-</w:t>
      </w:r>
    </w:p>
    <w:p>
      <w:pPr>
        <w:spacing w:line="213" w:lineRule="auto" w:before="166"/>
        <w:ind w:left="121" w:right="1072" w:firstLine="177"/>
        <w:jc w:val="both"/>
        <w:rPr>
          <w:sz w:val="18"/>
        </w:rPr>
      </w:pPr>
      <w:r>
        <w:rPr>
          <w:color w:val="2B2B2B"/>
          <w:sz w:val="18"/>
        </w:rPr>
        <w:t>* </w:t>
      </w:r>
      <w:r>
        <w:rPr>
          <w:color w:val="2F2F2F"/>
          <w:sz w:val="18"/>
        </w:rPr>
        <w:t>'’Pte </w:t>
      </w:r>
      <w:r>
        <w:rPr>
          <w:color w:val="2A2A2A"/>
          <w:sz w:val="18"/>
        </w:rPr>
        <w:t>First </w:t>
      </w:r>
      <w:r>
        <w:rPr>
          <w:color w:val="232323"/>
          <w:sz w:val="18"/>
        </w:rPr>
        <w:t>Blow </w:t>
      </w:r>
      <w:r>
        <w:rPr>
          <w:i/>
          <w:color w:val="2A2A2A"/>
          <w:sz w:val="18"/>
        </w:rPr>
        <w:t>of the </w:t>
      </w:r>
      <w:r>
        <w:rPr>
          <w:i/>
          <w:color w:val="1F1F1F"/>
          <w:sz w:val="18"/>
        </w:rPr>
        <w:t>Trumpet </w:t>
      </w:r>
      <w:r>
        <w:rPr>
          <w:i/>
          <w:color w:val="2F2F2F"/>
          <w:sz w:val="18"/>
        </w:rPr>
        <w:t>Agoinst </w:t>
      </w:r>
      <w:r>
        <w:rPr>
          <w:i/>
          <w:color w:val="2A2A2A"/>
          <w:sz w:val="18"/>
        </w:rPr>
        <w:t>the </w:t>
      </w:r>
      <w:r>
        <w:rPr>
          <w:color w:val="2A2A2A"/>
          <w:sz w:val="18"/>
        </w:rPr>
        <w:t>Monstrous </w:t>
      </w:r>
      <w:r>
        <w:rPr>
          <w:color w:val="2B2B2B"/>
          <w:sz w:val="18"/>
        </w:rPr>
        <w:t>Regiment </w:t>
      </w:r>
      <w:r>
        <w:rPr>
          <w:i/>
          <w:color w:val="313131"/>
          <w:sz w:val="18"/>
        </w:rPr>
        <w:t>of </w:t>
      </w:r>
      <w:r>
        <w:rPr>
          <w:i/>
          <w:color w:val="363636"/>
          <w:sz w:val="18"/>
        </w:rPr>
        <w:t>Women</w:t>
      </w:r>
      <w:r>
        <w:rPr>
          <w:i/>
          <w:color w:val="2F2F2F"/>
          <w:sz w:val="18"/>
        </w:rPr>
        <w:t> </w:t>
      </w:r>
      <w:r>
        <w:rPr>
          <w:color w:val="2F2F2F"/>
          <w:sz w:val="18"/>
        </w:rPr>
        <w:t>(1558), </w:t>
      </w:r>
      <w:r>
        <w:rPr>
          <w:color w:val="262626"/>
          <w:sz w:val="18"/>
        </w:rPr>
        <w:t>and </w:t>
      </w:r>
      <w:r>
        <w:rPr>
          <w:color w:val="282828"/>
          <w:sz w:val="18"/>
        </w:rPr>
        <w:t>Knox </w:t>
      </w:r>
      <w:r>
        <w:rPr>
          <w:color w:val="262626"/>
          <w:sz w:val="18"/>
        </w:rPr>
        <w:t>to Sir </w:t>
      </w:r>
      <w:r>
        <w:rPr>
          <w:color w:val="2A2A2A"/>
          <w:sz w:val="18"/>
        </w:rPr>
        <w:t>William Cecyll (1559), </w:t>
      </w:r>
      <w:r>
        <w:rPr>
          <w:i/>
          <w:color w:val="2F2F2F"/>
          <w:sz w:val="18"/>
        </w:rPr>
        <w:t>The </w:t>
      </w:r>
      <w:r>
        <w:rPr>
          <w:i/>
          <w:color w:val="313131"/>
          <w:sz w:val="18"/>
        </w:rPr>
        <w:t>Works  </w:t>
      </w:r>
      <w:r>
        <w:rPr>
          <w:i/>
          <w:color w:val="282828"/>
          <w:sz w:val="18"/>
        </w:rPr>
        <w:t>of  </w:t>
      </w:r>
      <w:r>
        <w:rPr>
          <w:i/>
          <w:color w:val="343434"/>
          <w:sz w:val="18"/>
        </w:rPr>
        <w:t>John  </w:t>
      </w:r>
      <w:r>
        <w:rPr>
          <w:i/>
          <w:color w:val="2B2B2B"/>
          <w:sz w:val="18"/>
        </w:rPr>
        <w:t>Know,  </w:t>
      </w:r>
      <w:r>
        <w:rPr>
          <w:color w:val="232323"/>
          <w:sz w:val="18"/>
        </w:rPr>
        <w:t>ed.</w:t>
      </w:r>
      <w:r>
        <w:rPr>
          <w:color w:val="2F2F2F"/>
          <w:sz w:val="18"/>
        </w:rPr>
        <w:t> David  Laing,  6 </w:t>
      </w:r>
      <w:r>
        <w:rPr>
          <w:color w:val="262626"/>
          <w:sz w:val="18"/>
        </w:rPr>
        <w:t>vols.  </w:t>
      </w:r>
      <w:r>
        <w:rPr>
          <w:color w:val="2B2B2B"/>
          <w:sz w:val="18"/>
        </w:rPr>
        <w:t>(Edinburgh:  </w:t>
      </w:r>
      <w:r>
        <w:rPr>
          <w:color w:val="2A2A2A"/>
          <w:sz w:val="18"/>
        </w:rPr>
        <w:t>Thomas  George  </w:t>
      </w:r>
      <w:r>
        <w:rPr>
          <w:color w:val="2B2B2B"/>
          <w:sz w:val="18"/>
        </w:rPr>
        <w:t>Stevenson,  </w:t>
      </w:r>
      <w:r>
        <w:rPr>
          <w:color w:val="2F2F2F"/>
          <w:sz w:val="18"/>
        </w:rPr>
        <w:t>1848-1864),</w:t>
      </w:r>
      <w:r>
        <w:rPr>
          <w:color w:val="2F2F2F"/>
          <w:spacing w:val="-18"/>
          <w:sz w:val="18"/>
        </w:rPr>
        <w:t> </w:t>
      </w:r>
      <w:r>
        <w:rPr>
          <w:color w:val="3F3F3F"/>
          <w:spacing w:val="4"/>
          <w:sz w:val="18"/>
        </w:rPr>
        <w:t>4</w:t>
      </w:r>
      <w:r>
        <w:rPr>
          <w:color w:val="212121"/>
          <w:spacing w:val="4"/>
          <w:sz w:val="18"/>
        </w:rPr>
        <w:t>:</w:t>
      </w:r>
      <w:r>
        <w:rPr>
          <w:color w:val="313131"/>
          <w:spacing w:val="4"/>
          <w:sz w:val="18"/>
        </w:rPr>
        <w:t>420;</w:t>
      </w:r>
    </w:p>
    <w:p>
      <w:pPr>
        <w:pStyle w:val="BodyText"/>
        <w:spacing w:line="178" w:lineRule="exact"/>
        <w:ind w:left="109"/>
        <w:jc w:val="both"/>
      </w:pPr>
      <w:r>
        <w:rPr>
          <w:color w:val="2B2B2B"/>
        </w:rPr>
        <w:t>8: </w:t>
      </w:r>
      <w:r>
        <w:rPr>
          <w:color w:val="2A2A2A"/>
        </w:rPr>
        <w:t>16.</w:t>
      </w:r>
    </w:p>
    <w:p>
      <w:pPr>
        <w:spacing w:line="206" w:lineRule="auto" w:before="13"/>
        <w:ind w:left="108" w:right="1085" w:firstLine="176"/>
        <w:jc w:val="both"/>
        <w:rPr>
          <w:sz w:val="18"/>
        </w:rPr>
      </w:pPr>
      <w:r>
        <w:rPr>
          <w:color w:val="282828"/>
          <w:sz w:val="18"/>
        </w:rPr>
        <w:t>*Sir </w:t>
      </w:r>
      <w:r>
        <w:rPr>
          <w:b/>
          <w:color w:val="363636"/>
          <w:sz w:val="18"/>
        </w:rPr>
        <w:t>Molers o/ </w:t>
      </w:r>
      <w:r>
        <w:rPr>
          <w:color w:val="262626"/>
          <w:sz w:val="18"/>
        </w:rPr>
        <w:t>English </w:t>
      </w:r>
      <w:r>
        <w:rPr>
          <w:i/>
          <w:color w:val="1F1F1F"/>
          <w:sz w:val="18"/>
        </w:rPr>
        <w:t>Religion, </w:t>
      </w:r>
      <w:r>
        <w:rPr>
          <w:i/>
          <w:color w:val="2F2F2F"/>
          <w:sz w:val="18"/>
        </w:rPr>
        <w:t>1500-1700 </w:t>
      </w:r>
      <w:r>
        <w:rPr>
          <w:color w:val="262626"/>
          <w:sz w:val="18"/>
        </w:rPr>
        <w:t>(London: Hodder </w:t>
      </w:r>
      <w:r>
        <w:rPr>
          <w:color w:val="2D2D2D"/>
          <w:sz w:val="18"/>
        </w:rPr>
        <w:t>and </w:t>
      </w:r>
      <w:r>
        <w:rPr>
          <w:color w:val="262626"/>
          <w:sz w:val="18"/>
        </w:rPr>
        <w:t>Stoughton, </w:t>
      </w:r>
      <w:r>
        <w:rPr>
          <w:color w:val="2B2B2B"/>
          <w:sz w:val="18"/>
        </w:rPr>
        <w:t>1957), </w:t>
      </w:r>
      <w:r>
        <w:rPr>
          <w:color w:val="2F2F2F"/>
          <w:sz w:val="18"/>
        </w:rPr>
        <w:t>p. </w:t>
      </w:r>
      <w:r>
        <w:rPr>
          <w:color w:val="313131"/>
          <w:sz w:val="18"/>
        </w:rPr>
        <w:t>67.</w:t>
      </w:r>
    </w:p>
    <w:p>
      <w:pPr>
        <w:spacing w:after="0" w:line="206" w:lineRule="auto"/>
        <w:jc w:val="both"/>
        <w:rPr>
          <w:sz w:val="18"/>
        </w:rPr>
        <w:sectPr>
          <w:pgSz w:w="8400" w:h="13110"/>
          <w:pgMar w:top="900" w:bottom="280" w:left="480" w:right="500"/>
        </w:sectPr>
      </w:pPr>
    </w:p>
    <w:p>
      <w:pPr>
        <w:tabs>
          <w:tab w:pos="7104" w:val="right" w:leader="none"/>
        </w:tabs>
        <w:spacing w:before="71"/>
        <w:ind w:left="1741" w:right="0" w:firstLine="0"/>
        <w:jc w:val="left"/>
        <w:rPr>
          <w:sz w:val="19"/>
        </w:rPr>
      </w:pPr>
      <w:r>
        <w:rPr>
          <w:sz w:val="20"/>
        </w:rPr>
        <w:t>ICONOGRAPHY  OF  FOXE’S  BOOK</w:t>
      </w:r>
      <w:r>
        <w:rPr>
          <w:spacing w:val="-16"/>
          <w:sz w:val="20"/>
        </w:rPr>
        <w:t> </w:t>
      </w:r>
      <w:r>
        <w:rPr>
          <w:sz w:val="20"/>
        </w:rPr>
        <w:t>OF</w:t>
      </w:r>
      <w:r>
        <w:rPr>
          <w:spacing w:val="25"/>
          <w:sz w:val="20"/>
        </w:rPr>
        <w:t> </w:t>
      </w:r>
      <w:r>
        <w:rPr>
          <w:sz w:val="20"/>
        </w:rPr>
        <w:t>MARTYRS</w:t>
        <w:tab/>
      </w:r>
      <w:r>
        <w:rPr>
          <w:sz w:val="19"/>
        </w:rPr>
        <w:t>9</w:t>
      </w:r>
    </w:p>
    <w:p>
      <w:pPr>
        <w:pStyle w:val="BodyText"/>
        <w:rPr>
          <w:sz w:val="23"/>
        </w:rPr>
      </w:pPr>
    </w:p>
    <w:p>
      <w:pPr>
        <w:pStyle w:val="BodyText"/>
        <w:ind w:left="868"/>
        <w:jc w:val="both"/>
      </w:pPr>
      <w:r>
        <w:rPr>
          <w:w w:val="105"/>
        </w:rPr>
        <w:t>don printer  John  Day,  in  collaboration  with  whom  he published  his  Book  of</w:t>
      </w:r>
    </w:p>
    <w:p>
      <w:pPr>
        <w:pStyle w:val="BodyText"/>
        <w:spacing w:before="23"/>
        <w:ind w:left="891"/>
        <w:jc w:val="both"/>
      </w:pPr>
      <w:r>
        <w:rPr>
          <w:w w:val="105"/>
        </w:rPr>
        <w:t>Martyrs in 1563.</w:t>
      </w:r>
    </w:p>
    <w:p>
      <w:pPr>
        <w:spacing w:line="268" w:lineRule="auto" w:before="20"/>
        <w:ind w:left="870" w:right="112" w:firstLine="210"/>
        <w:jc w:val="both"/>
        <w:rPr>
          <w:sz w:val="17"/>
        </w:rPr>
      </w:pPr>
      <w:r>
        <w:rPr>
          <w:w w:val="110"/>
          <w:sz w:val="18"/>
        </w:rPr>
        <w:t>The origins of the work dated back to 1552, when Foxe first began collect- ing materials on the victims of Roman Catholic persecution in  England. While in exile he had published two preliminary Latin treatises on the sub- </w:t>
      </w:r>
      <w:r>
        <w:rPr>
          <w:w w:val="110"/>
          <w:sz w:val="17"/>
        </w:rPr>
        <w:t>ject, taking his account down to the execution of Cranmer  in  1556.°  He  en- </w:t>
      </w:r>
      <w:r>
        <w:rPr>
          <w:w w:val="110"/>
          <w:sz w:val="18"/>
        </w:rPr>
        <w:t>titled the work which appeared in 1563, </w:t>
      </w:r>
      <w:r>
        <w:rPr>
          <w:i/>
          <w:w w:val="110"/>
          <w:sz w:val="18"/>
        </w:rPr>
        <w:t>Actes and </w:t>
      </w:r>
      <w:r>
        <w:rPr>
          <w:w w:val="110"/>
          <w:sz w:val="18"/>
        </w:rPr>
        <w:t>Monuments o/  </w:t>
      </w:r>
      <w:r>
        <w:rPr>
          <w:i/>
          <w:w w:val="110"/>
          <w:sz w:val="18"/>
        </w:rPr>
        <w:t>These </w:t>
      </w:r>
      <w:r>
        <w:rPr>
          <w:i/>
          <w:w w:val="110"/>
          <w:sz w:val="18"/>
        </w:rPr>
        <w:t>Latter </w:t>
      </w:r>
      <w:r>
        <w:rPr>
          <w:w w:val="110"/>
          <w:sz w:val="18"/>
        </w:rPr>
        <w:t>and Periffoos </w:t>
      </w:r>
      <w:r>
        <w:rPr>
          <w:i/>
          <w:w w:val="110"/>
          <w:sz w:val="18"/>
        </w:rPr>
        <w:t>Times. </w:t>
      </w:r>
      <w:r>
        <w:rPr>
          <w:w w:val="110"/>
          <w:sz w:val="18"/>
        </w:rPr>
        <w:t>A large folio volume containing nearly 1,800 pages, the book included an English translation of his earlier work, to which </w:t>
      </w:r>
      <w:r>
        <w:rPr>
          <w:w w:val="110"/>
          <w:sz w:val="17"/>
        </w:rPr>
        <w:t>was added a vast amount of new</w:t>
      </w:r>
      <w:r>
        <w:rPr>
          <w:spacing w:val="40"/>
          <w:w w:val="110"/>
          <w:sz w:val="17"/>
        </w:rPr>
        <w:t> </w:t>
      </w:r>
      <w:r>
        <w:rPr>
          <w:w w:val="110"/>
          <w:sz w:val="17"/>
        </w:rPr>
        <w:t>material.</w:t>
      </w:r>
    </w:p>
    <w:p>
      <w:pPr>
        <w:spacing w:line="271" w:lineRule="auto" w:before="0"/>
        <w:ind w:left="857" w:right="136" w:firstLine="214"/>
        <w:jc w:val="both"/>
        <w:rPr>
          <w:sz w:val="17"/>
        </w:rPr>
      </w:pPr>
      <w:r>
        <w:rPr>
          <w:w w:val="110"/>
          <w:sz w:val="17"/>
        </w:rPr>
        <w:t>Foxe  attempted  to  set  the  Marian  persecution  within  the  broader  context </w:t>
      </w:r>
      <w:r>
        <w:rPr>
          <w:w w:val="110"/>
          <w:sz w:val="18"/>
        </w:rPr>
        <w:t>of the history of the Christian Church, the Church of England, and the </w:t>
      </w:r>
      <w:r>
        <w:rPr>
          <w:w w:val="110"/>
          <w:sz w:val="17"/>
        </w:rPr>
        <w:t>Protestant Reformation. He sought  to  show  that  Mary’s  victims  were  worthy </w:t>
      </w:r>
      <w:r>
        <w:rPr>
          <w:w w:val="110"/>
          <w:sz w:val="18"/>
        </w:rPr>
        <w:t>of being placed in the company of the  great martyrs of  the  earliest days of the Church. “If Martyrs are to be compared with Martyrs,” he wrote in his </w:t>
      </w:r>
      <w:r>
        <w:rPr>
          <w:w w:val="110"/>
          <w:sz w:val="17"/>
        </w:rPr>
        <w:t>preface, “I see no cause why the Martyrs of our time deserve not as great commendation as the other in the primitive</w:t>
      </w:r>
      <w:r>
        <w:rPr>
          <w:spacing w:val="5"/>
          <w:w w:val="110"/>
          <w:sz w:val="17"/>
        </w:rPr>
        <w:t> </w:t>
      </w:r>
      <w:r>
        <w:rPr>
          <w:w w:val="110"/>
          <w:sz w:val="17"/>
        </w:rPr>
        <w:t>church.”*</w:t>
      </w:r>
    </w:p>
    <w:p>
      <w:pPr>
        <w:pStyle w:val="BodyText"/>
        <w:spacing w:line="202" w:lineRule="exact"/>
        <w:ind w:left="1061"/>
        <w:jc w:val="both"/>
      </w:pPr>
      <w:r>
        <w:rPr>
          <w:w w:val="110"/>
        </w:rPr>
        <w:t>Among his preliminaries Foxe included an address to his Catholic readers:</w:t>
      </w:r>
    </w:p>
    <w:p>
      <w:pPr>
        <w:pStyle w:val="BodyText"/>
        <w:spacing w:line="264" w:lineRule="auto" w:before="139"/>
        <w:ind w:left="1045" w:right="349" w:firstLine="2"/>
        <w:jc w:val="both"/>
        <w:rPr>
          <w:sz w:val="17"/>
        </w:rPr>
      </w:pPr>
      <w:r>
        <w:rPr>
          <w:w w:val="110"/>
        </w:rPr>
        <w:t>Se and behold, I beseche you  here  in  this story  the  pityfull  slaughter of your butchery. Beholde your own handy woorke, consider the nom- her almost out of nomber of so many, silly &amp; symple lambes of Christ, whose bloud you have sought and suckt, whose lyres you have vexed, whose bodies you have slayne, racked and tormented, some also you have cast on dunghils, to be devoured of Foules and Dogges, wythout </w:t>
      </w:r>
      <w:r>
        <w:rPr>
          <w:w w:val="110"/>
          <w:sz w:val="17"/>
        </w:rPr>
        <w:t>mercy, without measure, without al sense of</w:t>
      </w:r>
      <w:r>
        <w:rPr>
          <w:spacing w:val="31"/>
          <w:w w:val="110"/>
          <w:sz w:val="17"/>
        </w:rPr>
        <w:t> </w:t>
      </w:r>
      <w:r>
        <w:rPr>
          <w:w w:val="110"/>
          <w:sz w:val="17"/>
        </w:rPr>
        <w:t>humanity.°</w:t>
      </w:r>
    </w:p>
    <w:p>
      <w:pPr>
        <w:pStyle w:val="BodyText"/>
        <w:spacing w:line="264" w:lineRule="auto" w:before="132"/>
        <w:ind w:left="839" w:right="176" w:firstLine="11"/>
        <w:jc w:val="both"/>
        <w:rPr>
          <w:sz w:val="11"/>
        </w:rPr>
      </w:pPr>
      <w:r>
        <w:rPr>
          <w:w w:val="110"/>
        </w:rPr>
        <w:t>And yet for all his stress upon the Marian terror, Foxe’s mood was one of triumph and victory. As Helen C. White has observed, the terror  “is the  terror of things remembered; it in no way impairs the confidence of the </w:t>
      </w:r>
      <w:r>
        <w:rPr>
          <w:spacing w:val="2"/>
          <w:w w:val="110"/>
          <w:sz w:val="17"/>
        </w:rPr>
        <w:t>victory.”</w:t>
      </w:r>
      <w:r>
        <w:rPr>
          <w:spacing w:val="2"/>
          <w:w w:val="110"/>
          <w:position w:val="5"/>
          <w:sz w:val="11"/>
        </w:rPr>
        <w:t>G</w:t>
      </w:r>
    </w:p>
    <w:p>
      <w:pPr>
        <w:pStyle w:val="BodyText"/>
        <w:spacing w:line="261" w:lineRule="auto" w:before="4"/>
        <w:ind w:left="823" w:right="162" w:firstLine="217"/>
        <w:jc w:val="right"/>
      </w:pPr>
      <w:r>
        <w:rPr>
          <w:w w:val="110"/>
        </w:rPr>
        <w:t>Foxe soon found himself compelled to plan a new edition of  his</w:t>
      </w:r>
      <w:r>
        <w:rPr>
          <w:spacing w:val="11"/>
          <w:w w:val="110"/>
        </w:rPr>
        <w:t> </w:t>
      </w:r>
      <w:r>
        <w:rPr>
          <w:w w:val="110"/>
        </w:rPr>
        <w:t>book,</w:t>
      </w:r>
      <w:r>
        <w:rPr>
          <w:spacing w:val="17"/>
          <w:w w:val="110"/>
        </w:rPr>
        <w:t> </w:t>
      </w:r>
      <w:r>
        <w:rPr>
          <w:w w:val="110"/>
        </w:rPr>
        <w:t>as</w:t>
      </w:r>
      <w:r>
        <w:rPr>
          <w:spacing w:val="-1"/>
          <w:w w:val="104"/>
        </w:rPr>
        <w:t> </w:t>
      </w:r>
      <w:r>
        <w:rPr>
          <w:w w:val="110"/>
        </w:rPr>
        <w:t>its wide dispersal had produced a flood  of  new</w:t>
      </w:r>
      <w:r>
        <w:rPr>
          <w:spacing w:val="20"/>
          <w:w w:val="110"/>
        </w:rPr>
        <w:t> </w:t>
      </w:r>
      <w:r>
        <w:rPr>
          <w:w w:val="110"/>
        </w:rPr>
        <w:t>information.</w:t>
      </w:r>
      <w:r>
        <w:rPr>
          <w:spacing w:val="33"/>
          <w:w w:val="110"/>
        </w:rPr>
        <w:t> </w:t>
      </w:r>
      <w:r>
        <w:rPr>
          <w:w w:val="110"/>
        </w:rPr>
        <w:t>Consequently,</w:t>
      </w:r>
      <w:r>
        <w:rPr>
          <w:spacing w:val="-1"/>
          <w:w w:val="108"/>
        </w:rPr>
        <w:t> </w:t>
      </w:r>
      <w:r>
        <w:rPr>
          <w:w w:val="110"/>
        </w:rPr>
        <w:t>in 1570 he published a greatly enlarged revision,  printed  in</w:t>
      </w:r>
      <w:r>
        <w:rPr>
          <w:spacing w:val="5"/>
          <w:w w:val="110"/>
        </w:rPr>
        <w:t> </w:t>
      </w:r>
      <w:r>
        <w:rPr>
          <w:w w:val="110"/>
        </w:rPr>
        <w:t>two</w:t>
      </w:r>
      <w:r>
        <w:rPr>
          <w:spacing w:val="36"/>
          <w:w w:val="110"/>
        </w:rPr>
        <w:t> </w:t>
      </w:r>
      <w:r>
        <w:rPr>
          <w:w w:val="110"/>
        </w:rPr>
        <w:t>gigantic</w:t>
      </w:r>
      <w:r>
        <w:rPr>
          <w:w w:val="108"/>
        </w:rPr>
        <w:t> </w:t>
      </w:r>
      <w:r>
        <w:rPr>
          <w:w w:val="110"/>
        </w:rPr>
        <w:t>folio volumes. Other Elizabethan editions followed in 1576, 1583,</w:t>
      </w:r>
      <w:r>
        <w:rPr>
          <w:spacing w:val="4"/>
          <w:w w:val="110"/>
        </w:rPr>
        <w:t> </w:t>
      </w:r>
      <w:r>
        <w:rPr>
          <w:w w:val="110"/>
        </w:rPr>
        <w:t>and</w:t>
      </w:r>
      <w:r>
        <w:rPr>
          <w:spacing w:val="13"/>
          <w:w w:val="110"/>
        </w:rPr>
        <w:t> </w:t>
      </w:r>
      <w:r>
        <w:rPr>
          <w:w w:val="110"/>
        </w:rPr>
        <w:t>1596.</w:t>
      </w:r>
      <w:r>
        <w:rPr>
          <w:w w:val="109"/>
        </w:rPr>
        <w:t> </w:t>
      </w:r>
      <w:r>
        <w:rPr>
          <w:w w:val="110"/>
        </w:rPr>
        <w:t>The response to the book among English Protestants was</w:t>
      </w:r>
      <w:r>
        <w:rPr>
          <w:spacing w:val="2"/>
          <w:w w:val="110"/>
        </w:rPr>
        <w:t> </w:t>
      </w:r>
      <w:r>
        <w:rPr>
          <w:w w:val="110"/>
        </w:rPr>
        <w:t>enthusiastic</w:t>
      </w:r>
      <w:r>
        <w:rPr>
          <w:spacing w:val="35"/>
          <w:w w:val="110"/>
        </w:rPr>
        <w:t> </w:t>
      </w:r>
      <w:r>
        <w:rPr>
          <w:w w:val="110"/>
        </w:rPr>
        <w:t>to</w:t>
      </w:r>
      <w:r>
        <w:rPr>
          <w:spacing w:val="-1"/>
          <w:w w:val="108"/>
        </w:rPr>
        <w:t> </w:t>
      </w:r>
      <w:r>
        <w:rPr>
          <w:w w:val="110"/>
        </w:rPr>
        <w:t>say the least. In 1571 the convocation of Canterbury issued canons</w:t>
      </w:r>
      <w:r>
        <w:rPr>
          <w:spacing w:val="20"/>
          <w:w w:val="110"/>
        </w:rPr>
        <w:t> </w:t>
      </w:r>
      <w:r>
        <w:rPr>
          <w:w w:val="110"/>
        </w:rPr>
        <w:t>requiring</w:t>
      </w:r>
    </w:p>
    <w:p>
      <w:pPr>
        <w:pStyle w:val="BodyText"/>
        <w:spacing w:before="6"/>
        <w:rPr>
          <w:sz w:val="22"/>
        </w:rPr>
      </w:pPr>
    </w:p>
    <w:p>
      <w:pPr>
        <w:spacing w:line="232" w:lineRule="auto" w:before="0"/>
        <w:ind w:left="827" w:right="176" w:firstLine="158"/>
        <w:jc w:val="both"/>
        <w:rPr>
          <w:sz w:val="16"/>
        </w:rPr>
      </w:pPr>
      <w:r>
        <w:rPr>
          <w:w w:val="105"/>
          <w:sz w:val="16"/>
        </w:rPr>
        <w:t>*These were his Commentorii fterum in </w:t>
      </w:r>
      <w:r>
        <w:rPr>
          <w:i/>
          <w:w w:val="105"/>
          <w:sz w:val="16"/>
        </w:rPr>
        <w:t>ecclesia </w:t>
      </w:r>
      <w:r>
        <w:rPr>
          <w:w w:val="105"/>
          <w:sz w:val="16"/>
        </w:rPr>
        <w:t>gestorutn (Strassburg: Wendelin </w:t>
      </w:r>
      <w:r>
        <w:rPr>
          <w:w w:val="105"/>
          <w:sz w:val="17"/>
        </w:rPr>
        <w:t>Rihelius, 1554), and his </w:t>
      </w:r>
      <w:r>
        <w:rPr>
          <w:i/>
          <w:w w:val="105"/>
          <w:sz w:val="17"/>
        </w:rPr>
        <w:t>Return </w:t>
      </w:r>
      <w:r>
        <w:rPr>
          <w:w w:val="105"/>
          <w:sz w:val="17"/>
        </w:rPr>
        <w:t>in </w:t>
      </w:r>
      <w:r>
        <w:rPr>
          <w:i/>
          <w:w w:val="105"/>
          <w:sz w:val="17"/>
        </w:rPr>
        <w:t>Ecclesia </w:t>
      </w:r>
      <w:r>
        <w:rPr>
          <w:w w:val="105"/>
          <w:sz w:val="17"/>
        </w:rPr>
        <w:t>gestarutn .. .  </w:t>
      </w:r>
      <w:r>
        <w:rPr>
          <w:i/>
          <w:w w:val="105"/>
          <w:sz w:val="17"/>
        </w:rPr>
        <w:t>Commentarii  </w:t>
      </w:r>
      <w:r>
        <w:rPr>
          <w:w w:val="105"/>
          <w:sz w:val="17"/>
        </w:rPr>
        <w:t>(Basel: </w:t>
      </w:r>
      <w:r>
        <w:rPr>
          <w:w w:val="105"/>
          <w:sz w:val="16"/>
        </w:rPr>
        <w:t>Nicholas Brilinger and John</w:t>
      </w:r>
      <w:r>
        <w:rPr>
          <w:spacing w:val="-18"/>
          <w:w w:val="105"/>
          <w:sz w:val="16"/>
        </w:rPr>
        <w:t> </w:t>
      </w:r>
      <w:r>
        <w:rPr>
          <w:w w:val="105"/>
          <w:sz w:val="16"/>
        </w:rPr>
        <w:t>Oporinus).</w:t>
      </w:r>
    </w:p>
    <w:p>
      <w:pPr>
        <w:spacing w:line="225" w:lineRule="auto" w:before="19"/>
        <w:ind w:left="800" w:right="176" w:firstLine="189"/>
        <w:jc w:val="both"/>
        <w:rPr>
          <w:sz w:val="17"/>
        </w:rPr>
      </w:pPr>
      <w:r>
        <w:rPr>
          <w:w w:val="105"/>
          <w:sz w:val="16"/>
        </w:rPr>
        <w:t>*“A Declaration Concerning the Utilitie and Profite of thys History,” Actes end Monuments o{ </w:t>
      </w:r>
      <w:r>
        <w:rPr>
          <w:i/>
          <w:w w:val="105"/>
          <w:sz w:val="16"/>
        </w:rPr>
        <w:t>these </w:t>
      </w:r>
      <w:r>
        <w:rPr>
          <w:w w:val="105"/>
          <w:sz w:val="16"/>
        </w:rPr>
        <w:t>Letter </w:t>
      </w:r>
      <w:r>
        <w:rPr>
          <w:i/>
          <w:w w:val="105"/>
          <w:sz w:val="16"/>
        </w:rPr>
        <w:t>and </w:t>
      </w:r>
      <w:r>
        <w:rPr>
          <w:w w:val="105"/>
          <w:sz w:val="16"/>
        </w:rPr>
        <w:t>Perillous </w:t>
      </w:r>
      <w:r>
        <w:rPr>
          <w:i/>
          <w:w w:val="105"/>
          <w:sz w:val="16"/>
        </w:rPr>
        <w:t>Dayes, </w:t>
      </w:r>
      <w:r>
        <w:rPr>
          <w:w w:val="105"/>
          <w:sz w:val="16"/>
        </w:rPr>
        <w:t>'touching Matters o{  the  </w:t>
      </w:r>
      <w:r>
        <w:rPr>
          <w:i/>
          <w:w w:val="105"/>
          <w:sz w:val="16"/>
        </w:rPr>
        <w:t>Church, </w:t>
      </w:r>
      <w:r>
        <w:rPr>
          <w:i/>
          <w:w w:val="105"/>
          <w:sz w:val="17"/>
        </w:rPr>
        <w:t>Wherein ar Comprehended and Described ltte Ureot </w:t>
      </w:r>
      <w:r>
        <w:rPr>
          <w:w w:val="105"/>
          <w:sz w:val="17"/>
        </w:rPr>
        <w:t>Persecutions </w:t>
      </w:r>
      <w:r>
        <w:rPr>
          <w:i/>
          <w:w w:val="105"/>
          <w:sz w:val="17"/>
        </w:rPr>
        <w:t>E Horrible Trou- </w:t>
      </w:r>
      <w:r>
        <w:rPr>
          <w:i/>
          <w:w w:val="105"/>
          <w:sz w:val="18"/>
        </w:rPr>
        <w:t>bles, </w:t>
      </w:r>
      <w:r>
        <w:rPr>
          <w:w w:val="105"/>
          <w:sz w:val="18"/>
        </w:rPr>
        <w:t>'Shot </w:t>
      </w:r>
      <w:r>
        <w:rPr>
          <w:i/>
          <w:w w:val="105"/>
          <w:sz w:val="18"/>
        </w:rPr>
        <w:t>Have Bene </w:t>
      </w:r>
      <w:r>
        <w:rPr>
          <w:w w:val="105"/>
          <w:sz w:val="18"/>
        </w:rPr>
        <w:t>Wrought </w:t>
      </w:r>
      <w:r>
        <w:rPr>
          <w:i/>
          <w:w w:val="105"/>
          <w:sz w:val="18"/>
        </w:rPr>
        <w:t>and Practised by </w:t>
      </w:r>
      <w:r>
        <w:rPr>
          <w:w w:val="105"/>
          <w:sz w:val="18"/>
        </w:rPr>
        <w:t>the ftomishe Prelates, Speciollye </w:t>
      </w:r>
      <w:r>
        <w:rPr>
          <w:w w:val="105"/>
          <w:sz w:val="17"/>
        </w:rPr>
        <w:t>in </w:t>
      </w:r>
      <w:r>
        <w:rPr>
          <w:i/>
          <w:w w:val="105"/>
          <w:sz w:val="17"/>
        </w:rPr>
        <w:t>this Realme ol England and </w:t>
      </w:r>
      <w:r>
        <w:rPr>
          <w:w w:val="105"/>
          <w:sz w:val="17"/>
        </w:rPr>
        <w:t>Scotlonde, {rom the </w:t>
      </w:r>
      <w:r>
        <w:rPr>
          <w:i/>
          <w:w w:val="105"/>
          <w:sz w:val="17"/>
        </w:rPr>
        <w:t>¥eare oJ our  Lorde a  Thou- </w:t>
      </w:r>
      <w:r>
        <w:rPr>
          <w:i/>
          <w:w w:val="105"/>
          <w:sz w:val="17"/>
        </w:rPr>
        <w:t>sande, unto </w:t>
      </w:r>
      <w:r>
        <w:rPr>
          <w:w w:val="105"/>
          <w:sz w:val="17"/>
        </w:rPr>
        <w:t>the </w:t>
      </w:r>
      <w:r>
        <w:rPr>
          <w:i/>
          <w:w w:val="105"/>
          <w:sz w:val="17"/>
        </w:rPr>
        <w:t>T yme </w:t>
      </w:r>
      <w:r>
        <w:rPr>
          <w:w w:val="105"/>
          <w:sz w:val="17"/>
        </w:rPr>
        <w:t>None </w:t>
      </w:r>
      <w:r>
        <w:rPr>
          <w:i/>
          <w:w w:val="105"/>
          <w:sz w:val="17"/>
        </w:rPr>
        <w:t>Present </w:t>
      </w:r>
      <w:r>
        <w:rPr>
          <w:w w:val="105"/>
          <w:sz w:val="17"/>
        </w:rPr>
        <w:t>(London: John Day,</w:t>
      </w:r>
      <w:r>
        <w:rPr>
          <w:spacing w:val="16"/>
          <w:w w:val="105"/>
          <w:sz w:val="17"/>
        </w:rPr>
        <w:t> </w:t>
      </w:r>
      <w:r>
        <w:rPr>
          <w:w w:val="105"/>
          <w:sz w:val="17"/>
        </w:rPr>
        <w:t>1563).</w:t>
      </w:r>
    </w:p>
    <w:p>
      <w:pPr>
        <w:spacing w:after="0" w:line="225" w:lineRule="auto"/>
        <w:jc w:val="both"/>
        <w:rPr>
          <w:sz w:val="17"/>
        </w:rPr>
        <w:sectPr>
          <w:pgSz w:w="8390" w:h="13090"/>
          <w:pgMar w:top="1000" w:bottom="280" w:left="580" w:right="580"/>
        </w:sectPr>
      </w:pPr>
    </w:p>
    <w:p>
      <w:pPr>
        <w:spacing w:line="225" w:lineRule="auto" w:before="7"/>
        <w:ind w:left="807" w:right="0" w:firstLine="181"/>
        <w:jc w:val="left"/>
        <w:rPr>
          <w:sz w:val="16"/>
        </w:rPr>
      </w:pPr>
      <w:r>
        <w:rPr>
          <w:w w:val="110"/>
          <w:position w:val="5"/>
          <w:sz w:val="11"/>
        </w:rPr>
        <w:t>5 </w:t>
      </w:r>
      <w:r>
        <w:rPr>
          <w:w w:val="110"/>
          <w:sz w:val="16"/>
        </w:rPr>
        <w:t>“To the Persecutors of Gods Truth, Commonlye Called Papistes,” Monuments.</w:t>
      </w:r>
    </w:p>
    <w:p>
      <w:pPr>
        <w:spacing w:line="195" w:lineRule="exact" w:before="0"/>
        <w:ind w:left="66" w:right="0" w:firstLine="0"/>
        <w:jc w:val="left"/>
        <w:rPr>
          <w:i/>
          <w:sz w:val="17"/>
        </w:rPr>
      </w:pPr>
      <w:r>
        <w:rPr/>
        <w:br w:type="column"/>
      </w:r>
      <w:r>
        <w:rPr>
          <w:i/>
          <w:w w:val="105"/>
          <w:sz w:val="17"/>
        </w:rPr>
        <w:t>Actes and</w:t>
      </w:r>
    </w:p>
    <w:p>
      <w:pPr>
        <w:spacing w:after="0" w:line="195" w:lineRule="exact"/>
        <w:jc w:val="left"/>
        <w:rPr>
          <w:sz w:val="17"/>
        </w:rPr>
        <w:sectPr>
          <w:type w:val="continuous"/>
          <w:pgSz w:w="8390" w:h="13090"/>
          <w:pgMar w:top="1220" w:bottom="280" w:left="580" w:right="580"/>
          <w:cols w:num="2" w:equalWidth="0">
            <w:col w:w="6161" w:space="40"/>
            <w:col w:w="1029"/>
          </w:cols>
        </w:sectPr>
      </w:pPr>
    </w:p>
    <w:p>
      <w:pPr>
        <w:spacing w:line="223" w:lineRule="auto" w:before="11"/>
        <w:ind w:left="799" w:right="0" w:firstLine="259"/>
        <w:jc w:val="left"/>
        <w:rPr>
          <w:sz w:val="17"/>
        </w:rPr>
      </w:pPr>
      <w:r>
        <w:rPr>
          <w:i/>
          <w:w w:val="105"/>
          <w:sz w:val="17"/>
        </w:rPr>
        <w:t>Tudor Books oJ </w:t>
      </w:r>
      <w:r>
        <w:rPr>
          <w:w w:val="105"/>
          <w:sz w:val="17"/>
        </w:rPr>
        <w:t>Soints oitd Martyrs (Madison, Wisconsin: </w:t>
      </w:r>
      <w:r>
        <w:rPr>
          <w:w w:val="105"/>
          <w:position w:val="1"/>
          <w:sz w:val="17"/>
        </w:rPr>
        <w:t>Wisc</w:t>
      </w:r>
      <w:r>
        <w:rPr>
          <w:w w:val="105"/>
          <w:sz w:val="17"/>
        </w:rPr>
        <w:t>onsin </w:t>
      </w:r>
      <w:r>
        <w:rPr>
          <w:w w:val="105"/>
          <w:position w:val="1"/>
          <w:sz w:val="17"/>
        </w:rPr>
        <w:t>Press, 1963), p. 141.</w:t>
      </w:r>
    </w:p>
    <w:p>
      <w:pPr>
        <w:spacing w:before="25"/>
        <w:ind w:left="66" w:right="0" w:firstLine="0"/>
        <w:jc w:val="left"/>
        <w:rPr>
          <w:sz w:val="16"/>
        </w:rPr>
      </w:pPr>
      <w:r>
        <w:rPr/>
        <w:br w:type="column"/>
      </w:r>
      <w:r>
        <w:rPr>
          <w:w w:val="105"/>
          <w:sz w:val="16"/>
        </w:rPr>
        <w:t>The University of</w:t>
      </w:r>
    </w:p>
    <w:p>
      <w:pPr>
        <w:spacing w:after="0"/>
        <w:jc w:val="left"/>
        <w:rPr>
          <w:sz w:val="16"/>
        </w:rPr>
        <w:sectPr>
          <w:type w:val="continuous"/>
          <w:pgSz w:w="8390" w:h="13090"/>
          <w:pgMar w:top="1220" w:bottom="280" w:left="580" w:right="580"/>
          <w:cols w:num="2" w:equalWidth="0">
            <w:col w:w="5525" w:space="40"/>
            <w:col w:w="1665"/>
          </w:cols>
        </w:sectPr>
      </w:pPr>
    </w:p>
    <w:p>
      <w:pPr>
        <w:pStyle w:val="Heading2"/>
        <w:tabs>
          <w:tab w:pos="2092" w:val="left" w:leader="none"/>
        </w:tabs>
        <w:spacing w:before="78"/>
        <w:jc w:val="left"/>
      </w:pPr>
      <w:r>
        <w:rPr>
          <w:sz w:val="20"/>
        </w:rPr>
        <w:t>10</w:t>
        <w:tab/>
      </w:r>
      <w:r>
        <w:rPr>
          <w:position w:val="1"/>
        </w:rPr>
        <w:t>HISTORICAL</w:t>
      </w:r>
      <w:r>
        <w:rPr>
          <w:spacing w:val="38"/>
          <w:position w:val="1"/>
        </w:rPr>
        <w:t> </w:t>
      </w:r>
      <w:r>
        <w:rPr>
          <w:position w:val="1"/>
        </w:rPr>
        <w:t>MAGAZINE</w:t>
      </w:r>
    </w:p>
    <w:p>
      <w:pPr>
        <w:pStyle w:val="BodyText"/>
        <w:spacing w:before="10"/>
        <w:rPr>
          <w:sz w:val="22"/>
        </w:rPr>
      </w:pPr>
    </w:p>
    <w:p>
      <w:pPr>
        <w:spacing w:line="247" w:lineRule="auto" w:before="1"/>
        <w:ind w:left="131" w:right="869" w:firstLine="12"/>
        <w:jc w:val="both"/>
        <w:rPr>
          <w:sz w:val="12"/>
        </w:rPr>
      </w:pPr>
      <w:r>
        <w:rPr>
          <w:w w:val="105"/>
          <w:sz w:val="19"/>
        </w:rPr>
        <w:t>that a copy be installed in every cathedral church and in the house of each member of the hierarchy, from archbishop down to resident  canon.</w:t>
      </w:r>
      <w:r>
        <w:rPr>
          <w:w w:val="105"/>
          <w:position w:val="6"/>
          <w:sz w:val="11"/>
        </w:rPr>
        <w:t>7  </w:t>
      </w:r>
      <w:r>
        <w:rPr>
          <w:w w:val="105"/>
          <w:sz w:val="19"/>
        </w:rPr>
        <w:t>The same year the mayor and corporation of London ordered it placed in city orphanages and the halls of city companies.</w:t>
      </w:r>
      <w:r>
        <w:rPr>
          <w:w w:val="105"/>
          <w:position w:val="5"/>
          <w:sz w:val="12"/>
        </w:rPr>
        <w:t>8 </w:t>
      </w:r>
      <w:r>
        <w:rPr>
          <w:w w:val="105"/>
          <w:sz w:val="19"/>
        </w:rPr>
        <w:t>By 1577 it was available for visitors at the o&amp;ces of court as well.</w:t>
      </w:r>
      <w:r>
        <w:rPr>
          <w:w w:val="105"/>
          <w:position w:val="5"/>
          <w:sz w:val="12"/>
        </w:rPr>
        <w:t>il </w:t>
      </w:r>
      <w:r>
        <w:rPr>
          <w:w w:val="105"/>
          <w:sz w:val="19"/>
        </w:rPr>
        <w:t>Francis Drake took  along a copy on his voyage around the world, whiling away dull days at sea by co</w:t>
      </w:r>
      <w:r>
        <w:rPr>
          <w:w w:val="105"/>
          <w:position w:val="1"/>
          <w:sz w:val="19"/>
        </w:rPr>
        <w:t>l</w:t>
      </w:r>
      <w:r>
        <w:rPr>
          <w:w w:val="105"/>
          <w:sz w:val="19"/>
        </w:rPr>
        <w:t>oring its pictures,</w:t>
      </w:r>
      <w:r>
        <w:rPr>
          <w:w w:val="105"/>
          <w:position w:val="5"/>
          <w:sz w:val="12"/>
        </w:rPr>
        <w:t>1</w:t>
      </w:r>
      <w:r>
        <w:rPr>
          <w:w w:val="105"/>
          <w:sz w:val="19"/>
        </w:rPr>
        <w:t>° and during its early years the East Indian Company included it among the supplies to be sent out to its</w:t>
      </w:r>
      <w:r>
        <w:rPr>
          <w:spacing w:val="-1"/>
          <w:w w:val="105"/>
          <w:sz w:val="19"/>
        </w:rPr>
        <w:t> </w:t>
      </w:r>
      <w:r>
        <w:rPr>
          <w:w w:val="105"/>
          <w:sz w:val="19"/>
        </w:rPr>
        <w:t>stations.</w:t>
      </w:r>
      <w:r>
        <w:rPr>
          <w:w w:val="105"/>
          <w:position w:val="5"/>
          <w:sz w:val="12"/>
        </w:rPr>
        <w:t>11</w:t>
      </w:r>
    </w:p>
    <w:p>
      <w:pPr>
        <w:spacing w:line="247" w:lineRule="auto" w:before="2"/>
        <w:ind w:left="125" w:right="876" w:firstLine="205"/>
        <w:jc w:val="both"/>
        <w:rPr>
          <w:sz w:val="19"/>
        </w:rPr>
      </w:pPr>
      <w:r>
        <w:rPr>
          <w:sz w:val="19"/>
        </w:rPr>
        <w:t>Foxe’s narratives were written  in  a  plain  and  straightforward  style  which in and of  itself  is  anything  but exciting.  Yet  his extensive  use of  the  words of his martyrs, both written and  spoken,  and  his  notable  skill  in  presenting the striking and dramatic detail, enabled  him  to  infuse  life  and  vitality  into the scenes which he described. The stories of the examinations and  disputa- tions, of the imprisonments and tortures,  and  above all  of  the final scenes  at the stake were told with such  power  and  persuasion  that  their  impact  upon his contemporaries must have been deep and</w:t>
      </w:r>
      <w:r>
        <w:rPr>
          <w:spacing w:val="-12"/>
          <w:sz w:val="19"/>
        </w:rPr>
        <w:t> </w:t>
      </w:r>
      <w:r>
        <w:rPr>
          <w:sz w:val="19"/>
        </w:rPr>
        <w:t>unforgettable.</w:t>
      </w:r>
    </w:p>
    <w:p>
      <w:pPr>
        <w:spacing w:line="249" w:lineRule="auto" w:before="4"/>
        <w:ind w:left="118" w:right="880" w:firstLine="221"/>
        <w:jc w:val="both"/>
        <w:rPr>
          <w:sz w:val="19"/>
        </w:rPr>
      </w:pPr>
      <w:r>
        <w:rPr>
          <w:w w:val="105"/>
          <w:sz w:val="19"/>
        </w:rPr>
        <w:t>Nor was the audience of the Book of Martyrs confined to Foxe’s literate contemporaries.</w:t>
      </w:r>
      <w:r>
        <w:rPr>
          <w:w w:val="105"/>
          <w:position w:val="5"/>
          <w:sz w:val="12"/>
        </w:rPr>
        <w:t>12 </w:t>
      </w:r>
      <w:r>
        <w:rPr>
          <w:w w:val="105"/>
          <w:sz w:val="19"/>
        </w:rPr>
        <w:t>From the beginning the text of the book  was illustrated with numerous woodcut drawings. Its fifty-four cuts in 1563, increasing to 105 in 1570, made it the most elaborately illustrated book  yet  to be printed in England. There can  be little doubt that the woodcuts added considerably  to the popularity and impact of the</w:t>
      </w:r>
      <w:r>
        <w:rPr>
          <w:spacing w:val="1"/>
          <w:w w:val="105"/>
          <w:sz w:val="19"/>
        </w:rPr>
        <w:t> </w:t>
      </w:r>
      <w:r>
        <w:rPr>
          <w:w w:val="105"/>
          <w:sz w:val="19"/>
        </w:rPr>
        <w:t>book.</w:t>
      </w:r>
    </w:p>
    <w:p>
      <w:pPr>
        <w:spacing w:line="214" w:lineRule="exact" w:before="0"/>
        <w:ind w:left="316" w:right="0" w:firstLine="0"/>
        <w:jc w:val="both"/>
        <w:rPr>
          <w:sz w:val="19"/>
        </w:rPr>
      </w:pPr>
      <w:r>
        <w:rPr>
          <w:sz w:val="19"/>
        </w:rPr>
        <w:t>The identity of the artist of the woodcuts is not known. He may well have</w:t>
      </w:r>
    </w:p>
    <w:p>
      <w:pPr>
        <w:pStyle w:val="BodyText"/>
        <w:rPr>
          <w:sz w:val="20"/>
        </w:rPr>
      </w:pPr>
    </w:p>
    <w:p>
      <w:pPr>
        <w:pStyle w:val="BodyText"/>
        <w:spacing w:before="4"/>
        <w:rPr>
          <w:sz w:val="23"/>
        </w:rPr>
      </w:pPr>
    </w:p>
    <w:p>
      <w:pPr>
        <w:spacing w:line="192" w:lineRule="exact" w:before="1"/>
        <w:ind w:left="266" w:right="0" w:firstLine="0"/>
        <w:jc w:val="left"/>
        <w:rPr>
          <w:i/>
          <w:sz w:val="17"/>
        </w:rPr>
      </w:pPr>
      <w:r>
        <w:rPr>
          <w:i/>
          <w:sz w:val="17"/>
        </w:rPr>
        <w:t>"'A Booke of Certaine Canons, Concerning </w:t>
      </w:r>
      <w:r>
        <w:rPr>
          <w:sz w:val="17"/>
        </w:rPr>
        <w:t>Son Porte </w:t>
      </w:r>
      <w:r>
        <w:rPr>
          <w:i/>
          <w:sz w:val="17"/>
        </w:rPr>
        <w:t>of the </w:t>
      </w:r>
      <w:r>
        <w:rPr>
          <w:sz w:val="17"/>
        </w:rPr>
        <w:t>Discipline </w:t>
      </w:r>
      <w:r>
        <w:rPr>
          <w:i/>
          <w:sz w:val="17"/>
        </w:rPr>
        <w:t>o{ the</w:t>
      </w:r>
    </w:p>
    <w:p>
      <w:pPr>
        <w:spacing w:line="191" w:lineRule="exact" w:before="0"/>
        <w:ind w:left="112" w:right="0" w:firstLine="0"/>
        <w:jc w:val="left"/>
        <w:rPr>
          <w:sz w:val="17"/>
        </w:rPr>
      </w:pPr>
      <w:r>
        <w:rPr>
          <w:sz w:val="17"/>
        </w:rPr>
        <w:t>Ghurche </w:t>
      </w:r>
      <w:r>
        <w:rPr>
          <w:i/>
          <w:sz w:val="17"/>
        </w:rPr>
        <w:t>o{ England </w:t>
      </w:r>
      <w:r>
        <w:rPr>
          <w:sz w:val="17"/>
        </w:rPr>
        <w:t>(London: John Day, 1561), pp. €›-9.</w:t>
      </w:r>
    </w:p>
    <w:p>
      <w:pPr>
        <w:spacing w:line="175" w:lineRule="exact" w:before="0"/>
        <w:ind w:left="295" w:right="0" w:firstLine="0"/>
        <w:jc w:val="left"/>
        <w:rPr>
          <w:sz w:val="16"/>
        </w:rPr>
      </w:pPr>
      <w:r>
        <w:rPr>
          <w:w w:val="105"/>
          <w:position w:val="4"/>
          <w:sz w:val="9"/>
        </w:rPr>
        <w:t>® </w:t>
      </w:r>
      <w:r>
        <w:rPr>
          <w:w w:val="105"/>
          <w:sz w:val="16"/>
        </w:rPr>
        <w:t>Edward Arber, ed., A </w:t>
      </w:r>
      <w:r>
        <w:rPr>
          <w:i/>
          <w:w w:val="105"/>
          <w:sz w:val="16"/>
        </w:rPr>
        <w:t>Transcript o{ the </w:t>
      </w:r>
      <w:r>
        <w:rPr>
          <w:w w:val="105"/>
          <w:sz w:val="16"/>
        </w:rPr>
        <w:t>flegister </w:t>
      </w:r>
      <w:r>
        <w:rPr>
          <w:i/>
          <w:w w:val="105"/>
          <w:sz w:val="16"/>
        </w:rPr>
        <w:t>o{ the Company o{ </w:t>
      </w:r>
      <w:r>
        <w:rPr>
          <w:w w:val="105"/>
          <w:sz w:val="16"/>
        </w:rPr>
        <w:t>Stotiotters</w:t>
      </w:r>
    </w:p>
    <w:p>
      <w:pPr>
        <w:spacing w:line="186" w:lineRule="exact" w:before="0"/>
        <w:ind w:left="109" w:right="0" w:firstLine="0"/>
        <w:jc w:val="left"/>
        <w:rPr>
          <w:sz w:val="17"/>
        </w:rPr>
      </w:pPr>
      <w:r>
        <w:rPr>
          <w:i/>
          <w:sz w:val="17"/>
        </w:rPr>
        <w:t>o{ London, 155W16d0 </w:t>
      </w:r>
      <w:r>
        <w:rPr>
          <w:sz w:val="17"/>
        </w:rPr>
        <w:t>A.D., 5 vols. (London, 1875—1894), 1: 496.</w:t>
      </w:r>
    </w:p>
    <w:p>
      <w:pPr>
        <w:spacing w:line="232" w:lineRule="auto" w:before="3"/>
        <w:ind w:left="109" w:right="892" w:firstLine="173"/>
        <w:jc w:val="right"/>
        <w:rPr>
          <w:sz w:val="17"/>
        </w:rPr>
      </w:pPr>
      <w:r>
        <w:rPr>
          <w:w w:val="105"/>
          <w:sz w:val="16"/>
        </w:rPr>
        <w:t>*William Harrison, “An Historicall Description of the Hand  of  Britaine,”  </w:t>
      </w:r>
      <w:r>
        <w:rPr>
          <w:i/>
          <w:w w:val="105"/>
          <w:sz w:val="16"/>
        </w:rPr>
        <w:t>Holin-</w:t>
      </w:r>
      <w:r>
        <w:rPr>
          <w:i/>
          <w:w w:val="109"/>
          <w:sz w:val="16"/>
        </w:rPr>
        <w:t> </w:t>
      </w:r>
      <w:r>
        <w:rPr>
          <w:i/>
          <w:w w:val="105"/>
          <w:sz w:val="16"/>
        </w:rPr>
        <w:t>shed’s Chronicles o{ </w:t>
      </w:r>
      <w:r>
        <w:rPr>
          <w:w w:val="105"/>
          <w:sz w:val="16"/>
        </w:rPr>
        <w:t>England, Scotland, </w:t>
      </w:r>
      <w:r>
        <w:rPr>
          <w:i/>
          <w:w w:val="105"/>
          <w:sz w:val="16"/>
        </w:rPr>
        <w:t>and Ireland, </w:t>
      </w:r>
      <w:r>
        <w:rPr>
          <w:w w:val="105"/>
          <w:sz w:val="16"/>
        </w:rPr>
        <w:t>6 vols. (London, 1807), 1: 881.</w:t>
      </w:r>
      <w:r>
        <w:rPr>
          <w:w w:val="111"/>
          <w:sz w:val="16"/>
        </w:rPr>
        <w:t> </w:t>
      </w:r>
      <w:r>
        <w:rPr>
          <w:w w:val="105"/>
          <w:position w:val="4"/>
          <w:sz w:val="12"/>
        </w:rPr>
        <w:t>1</w:t>
      </w:r>
      <w:r>
        <w:rPr>
          <w:w w:val="105"/>
          <w:sz w:val="17"/>
        </w:rPr>
        <w:t>°Zelia Nuttall, New Light </w:t>
      </w:r>
      <w:r>
        <w:rPr>
          <w:i/>
          <w:w w:val="105"/>
          <w:sz w:val="17"/>
        </w:rPr>
        <w:t>on  </w:t>
      </w:r>
      <w:r>
        <w:rPr>
          <w:w w:val="105"/>
          <w:sz w:val="17"/>
        </w:rPr>
        <w:t>Droke;  </w:t>
      </w:r>
      <w:r>
        <w:rPr>
          <w:i/>
          <w:w w:val="105"/>
          <w:sz w:val="17"/>
        </w:rPr>
        <w:t>A  Collection  o{  </w:t>
      </w:r>
      <w:r>
        <w:rPr>
          <w:w w:val="105"/>
          <w:sz w:val="17"/>
        </w:rPr>
        <w:t>Documents flefoting </w:t>
      </w:r>
      <w:r>
        <w:rPr>
          <w:i/>
          <w:w w:val="105"/>
          <w:sz w:val="17"/>
        </w:rPr>
        <w:t>to</w:t>
      </w:r>
      <w:r>
        <w:rPr>
          <w:i/>
          <w:w w:val="103"/>
          <w:sz w:val="17"/>
        </w:rPr>
        <w:t> </w:t>
      </w:r>
      <w:r>
        <w:rPr>
          <w:w w:val="105"/>
          <w:sz w:val="17"/>
        </w:rPr>
        <w:t>his </w:t>
      </w:r>
      <w:r>
        <w:rPr>
          <w:i/>
          <w:w w:val="105"/>
          <w:sz w:val="17"/>
        </w:rPr>
        <w:t>Voyage o{ Circumnaoigation, 1577-1580, </w:t>
      </w:r>
      <w:r>
        <w:rPr>
          <w:w w:val="105"/>
          <w:sz w:val="17"/>
        </w:rPr>
        <w:t>The Hakluyt Society, ser. ii, vol. 34</w:t>
      </w:r>
    </w:p>
    <w:p>
      <w:pPr>
        <w:spacing w:line="179" w:lineRule="exact" w:before="0"/>
        <w:ind w:left="111" w:right="0" w:firstLine="0"/>
        <w:jc w:val="both"/>
        <w:rPr>
          <w:sz w:val="17"/>
        </w:rPr>
      </w:pPr>
      <w:r>
        <w:rPr>
          <w:w w:val="105"/>
          <w:sz w:val="17"/>
        </w:rPr>
        <w:t>(1914),  pp. 19, 348,</w:t>
      </w:r>
      <w:r>
        <w:rPr>
          <w:spacing w:val="2"/>
          <w:w w:val="105"/>
          <w:sz w:val="17"/>
        </w:rPr>
        <w:t> </w:t>
      </w:r>
      <w:r>
        <w:rPr>
          <w:w w:val="105"/>
          <w:sz w:val="17"/>
        </w:rPr>
        <w:t>354-57.</w:t>
      </w:r>
    </w:p>
    <w:p>
      <w:pPr>
        <w:spacing w:line="235" w:lineRule="auto" w:before="6"/>
        <w:ind w:left="109" w:right="890" w:firstLine="179"/>
        <w:jc w:val="both"/>
        <w:rPr>
          <w:sz w:val="16"/>
        </w:rPr>
      </w:pPr>
      <w:r>
        <w:rPr>
          <w:w w:val="110"/>
          <w:position w:val="5"/>
          <w:sz w:val="11"/>
        </w:rPr>
        <w:t>1 </w:t>
      </w:r>
      <w:r>
        <w:rPr>
          <w:w w:val="110"/>
          <w:sz w:val="16"/>
        </w:rPr>
        <w:t>*Arnold Wright, Eorly English </w:t>
      </w:r>
      <w:r>
        <w:rPr>
          <w:i/>
          <w:w w:val="110"/>
          <w:sz w:val="16"/>
        </w:rPr>
        <w:t>Adoentu hers </w:t>
      </w:r>
      <w:r>
        <w:rPr>
          <w:w w:val="110"/>
          <w:sz w:val="16"/>
        </w:rPr>
        <w:t>itt tftc East (London: Andrew Mel- rose, Ltd., 1917) pp.</w:t>
      </w:r>
      <w:r>
        <w:rPr>
          <w:spacing w:val="11"/>
          <w:w w:val="110"/>
          <w:sz w:val="16"/>
        </w:rPr>
        <w:t> </w:t>
      </w:r>
      <w:r>
        <w:rPr>
          <w:w w:val="110"/>
          <w:sz w:val="16"/>
        </w:rPr>
        <w:t>70=-71.</w:t>
      </w:r>
    </w:p>
    <w:p>
      <w:pPr>
        <w:spacing w:line="186" w:lineRule="exact" w:before="0"/>
        <w:ind w:left="283" w:right="0" w:firstLine="0"/>
        <w:jc w:val="both"/>
        <w:rPr>
          <w:sz w:val="16"/>
        </w:rPr>
      </w:pPr>
      <w:r>
        <w:rPr>
          <w:w w:val="110"/>
          <w:position w:val="3"/>
          <w:sz w:val="16"/>
        </w:rPr>
        <w:t>1</w:t>
      </w:r>
      <w:r>
        <w:rPr>
          <w:w w:val="110"/>
          <w:sz w:val="16"/>
        </w:rPr>
        <w:t>*It is iiiipossible to deteriiiine with any degree of precision the proportion of the</w:t>
      </w:r>
    </w:p>
    <w:p>
      <w:pPr>
        <w:spacing w:line="230" w:lineRule="auto" w:before="0"/>
        <w:ind w:left="105" w:right="889" w:firstLine="10"/>
        <w:jc w:val="both"/>
        <w:rPr>
          <w:sz w:val="16"/>
        </w:rPr>
      </w:pPr>
      <w:r>
        <w:rPr>
          <w:w w:val="105"/>
          <w:sz w:val="17"/>
        </w:rPr>
        <w:t>population of sixteenth century England which was literate. </w:t>
      </w:r>
      <w:r>
        <w:rPr>
          <w:sz w:val="17"/>
        </w:rPr>
        <w:t>ThOl3 .IS </w:t>
      </w:r>
      <w:r>
        <w:rPr>
          <w:w w:val="105"/>
          <w:sz w:val="17"/>
        </w:rPr>
        <w:t>More’s re- markable assertion in his  </w:t>
      </w:r>
      <w:r>
        <w:rPr>
          <w:i/>
          <w:w w:val="105"/>
          <w:sz w:val="17"/>
        </w:rPr>
        <w:t>Apology of  </w:t>
      </w:r>
      <w:r>
        <w:rPr>
          <w:w w:val="105"/>
          <w:sz w:val="17"/>
        </w:rPr>
        <w:t>1533 that “farre iiiore  then four partes of  all  the whole dyvyded into tenne, could never rede englyshe yet,” and Bishop Stephen Gardiner’s declaration in a letter of May, 1547 that “not the hundreth part of the realme” was able to read, not only contradict  each  other, but  </w:t>
      </w:r>
      <w:r>
        <w:rPr>
          <w:i/>
          <w:w w:val="105"/>
          <w:sz w:val="17"/>
        </w:rPr>
        <w:t>were  </w:t>
      </w:r>
      <w:r>
        <w:rPr>
          <w:w w:val="105"/>
          <w:sz w:val="17"/>
        </w:rPr>
        <w:t>hardly  intended as exact statistical statements. H.  B.  Bennett  concludes  that  the  “ability  to  read was widespread; that it was to be found in all  ranks  of  society,  aiiiong  both  men and woiiien, and that it was powerfully increased by the products  of  the  printing press and by the strong religious emotions provoked by  the  action  of  Henry  VIII and by later rrlonarchs and their advisers.” </w:t>
      </w:r>
      <w:r>
        <w:rPr>
          <w:i/>
          <w:w w:val="105"/>
          <w:sz w:val="17"/>
        </w:rPr>
        <w:t>The Complete Works o{ Thomas  </w:t>
      </w:r>
      <w:r>
        <w:rPr>
          <w:w w:val="105"/>
          <w:sz w:val="17"/>
        </w:rPr>
        <w:t>More, </w:t>
      </w:r>
      <w:r>
        <w:rPr>
          <w:w w:val="105"/>
          <w:sz w:val="16"/>
        </w:rPr>
        <w:t>Vol. 9, ed. J.  B.  Trapp  (New  HilVen  .ind  London:  Yale  University  Press,  1979),  p. 13; </w:t>
      </w:r>
      <w:r>
        <w:rPr>
          <w:i/>
          <w:w w:val="105"/>
          <w:sz w:val="16"/>
        </w:rPr>
        <w:t>The </w:t>
      </w:r>
      <w:r>
        <w:rPr>
          <w:w w:val="105"/>
          <w:sz w:val="16"/>
        </w:rPr>
        <w:t>Letters </w:t>
      </w:r>
      <w:r>
        <w:rPr>
          <w:i/>
          <w:w w:val="105"/>
          <w:sz w:val="16"/>
        </w:rPr>
        <w:t>o{ </w:t>
      </w:r>
      <w:r>
        <w:rPr>
          <w:w w:val="105"/>
          <w:sz w:val="16"/>
        </w:rPr>
        <w:t>Stcphett </w:t>
      </w:r>
      <w:r>
        <w:rPr>
          <w:i/>
          <w:w w:val="105"/>
          <w:sz w:val="16"/>
        </w:rPr>
        <w:t>•ardincr, </w:t>
      </w:r>
      <w:r>
        <w:rPr>
          <w:w w:val="105"/>
          <w:sz w:val="16"/>
        </w:rPr>
        <w:t>cd. Jaimes Arthur Muller (CillTlbridge:  The University Press, 1933), p. 274; H. S. Bennett,  fttgiish  </w:t>
      </w:r>
      <w:r>
        <w:rPr>
          <w:i/>
          <w:w w:val="105"/>
          <w:sz w:val="16"/>
        </w:rPr>
        <w:t>Books  and  Readers,  1588  to </w:t>
      </w:r>
      <w:r>
        <w:rPr>
          <w:i/>
          <w:w w:val="105"/>
          <w:sz w:val="16"/>
        </w:rPr>
        <w:t>1603; Being a </w:t>
      </w:r>
      <w:r>
        <w:rPr>
          <w:w w:val="105"/>
          <w:sz w:val="16"/>
        </w:rPr>
        <w:t>Study </w:t>
      </w:r>
      <w:r>
        <w:rPr>
          <w:i/>
          <w:w w:val="105"/>
          <w:sz w:val="16"/>
        </w:rPr>
        <w:t>in tlic History o{ the Book J’radc in the Reign of </w:t>
      </w:r>
      <w:r>
        <w:rPr>
          <w:w w:val="105"/>
          <w:sz w:val="16"/>
        </w:rPr>
        <w:t>Eiizofieth </w:t>
      </w:r>
      <w:r>
        <w:rPr>
          <w:i/>
          <w:w w:val="105"/>
          <w:sz w:val="16"/>
        </w:rPr>
        <w:t>I </w:t>
      </w:r>
      <w:r>
        <w:rPr>
          <w:w w:val="105"/>
          <w:sz w:val="16"/>
        </w:rPr>
        <w:t>(Cambridge: The University Press, 1965, p.</w:t>
      </w:r>
      <w:r>
        <w:rPr>
          <w:spacing w:val="15"/>
          <w:w w:val="105"/>
          <w:sz w:val="16"/>
        </w:rPr>
        <w:t> </w:t>
      </w:r>
      <w:r>
        <w:rPr>
          <w:w w:val="105"/>
          <w:sz w:val="16"/>
        </w:rPr>
        <w:t>29.</w:t>
      </w:r>
    </w:p>
    <w:p>
      <w:pPr>
        <w:spacing w:after="0" w:line="230" w:lineRule="auto"/>
        <w:jc w:val="both"/>
        <w:rPr>
          <w:sz w:val="16"/>
        </w:rPr>
        <w:sectPr>
          <w:pgSz w:w="8390" w:h="13090"/>
          <w:pgMar w:top="980" w:bottom="280" w:left="58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before="93"/>
        <w:ind w:left="2921" w:right="1931"/>
        <w:jc w:val="center"/>
      </w:pPr>
      <w:r>
        <w:rPr/>
        <w:pict>
          <v:group style="position:absolute;margin-left:71.756569pt;margin-top:-257.99942pt;width:322.55pt;height:264.1pt;mso-position-horizontal-relative:page;mso-position-vertical-relative:paragraph;z-index:15729664" coordorigin="1435,-5160" coordsize="6451,5282">
            <v:shape style="position:absolute;left:1435;top:-5130;width:6451;height:5252" type="#_x0000_t75" stroked="false">
              <v:imagedata r:id="rId6" o:title=""/>
            </v:shape>
            <v:shapetype id="_x0000_t202" o:spt="202" coordsize="21600,21600" path="m,l,21600r21600,l21600,xe">
              <v:stroke joinstyle="miter"/>
              <v:path gradientshapeok="t" o:connecttype="rect"/>
            </v:shapetype>
            <v:shape style="position:absolute;left:2443;top:-5160;width:4495;height:200" type="#_x0000_t202" filled="false" stroked="false">
              <v:textbox inset="0,0,0,0">
                <w:txbxContent>
                  <w:p>
                    <w:pPr>
                      <w:spacing w:line="199" w:lineRule="exact" w:before="0"/>
                      <w:ind w:left="0" w:right="0" w:firstLine="0"/>
                      <w:jc w:val="left"/>
                      <w:rPr>
                        <w:sz w:val="18"/>
                      </w:rPr>
                    </w:pPr>
                    <w:r>
                      <w:rPr>
                        <w:w w:val="105"/>
                        <w:sz w:val="18"/>
                      </w:rPr>
                      <w:t>ICONOCRAPHY OF FOXE’S BOOK OF 81 RTYRS</w:t>
                    </w:r>
                  </w:p>
                </w:txbxContent>
              </v:textbox>
              <w10:wrap type="none"/>
            </v:shape>
            <w10:wrap type="none"/>
          </v:group>
        </w:pict>
      </w:r>
      <w:r>
        <w:rPr>
          <w:w w:val="110"/>
        </w:rPr>
        <w:t>Plate *</w:t>
      </w:r>
    </w:p>
    <w:p>
      <w:pPr>
        <w:pStyle w:val="BodyText"/>
        <w:spacing w:before="7"/>
        <w:rPr>
          <w:sz w:val="21"/>
        </w:rPr>
      </w:pPr>
    </w:p>
    <w:p>
      <w:pPr>
        <w:pStyle w:val="BodyText"/>
        <w:spacing w:line="261" w:lineRule="auto" w:before="1"/>
        <w:ind w:left="1107" w:right="103" w:firstLine="3"/>
        <w:jc w:val="both"/>
      </w:pPr>
      <w:r>
        <w:rPr>
          <w:w w:val="105"/>
        </w:rPr>
        <w:t>been one of the several foreign-born artist-cutters employed by John Day.*° Whoever  he  was,  he  was  a  cr‹iftsm‹in   of   some  ability  whose  work  on</w:t>
      </w:r>
      <w:r>
        <w:rPr>
          <w:spacing w:val="-14"/>
          <w:w w:val="105"/>
        </w:rPr>
        <w:t> </w:t>
      </w:r>
      <w:r>
        <w:rPr>
          <w:w w:val="105"/>
        </w:rPr>
        <w:t>the</w:t>
      </w:r>
    </w:p>
    <w:p>
      <w:pPr>
        <w:pStyle w:val="BodyText"/>
        <w:spacing w:line="237" w:lineRule="auto"/>
        <w:ind w:left="1103" w:right="107" w:firstLine="5"/>
        <w:jc w:val="both"/>
      </w:pPr>
      <w:r>
        <w:rPr>
          <w:w w:val="110"/>
          <w:position w:val="1"/>
        </w:rPr>
        <w:t>whole was careful and </w:t>
      </w:r>
      <w:r>
        <w:rPr>
          <w:w w:val="110"/>
          <w:position w:val="-2"/>
        </w:rPr>
        <w:t>r • </w:t>
      </w:r>
      <w:r>
        <w:rPr>
          <w:w w:val="110"/>
          <w:position w:val="2"/>
        </w:rPr>
        <w:t>instaking. </w:t>
      </w:r>
      <w:r>
        <w:rPr>
          <w:w w:val="110"/>
          <w:position w:val="1"/>
        </w:rPr>
        <w:t>While some of his </w:t>
      </w:r>
      <w:r>
        <w:rPr>
          <w:w w:val="110"/>
          <w:position w:val="-2"/>
        </w:rPr>
        <w:t>r </w:t>
      </w:r>
      <w:r>
        <w:rPr>
          <w:w w:val="110"/>
          <w:position w:val="1"/>
        </w:rPr>
        <w:t>i</w:t>
      </w:r>
      <w:r>
        <w:rPr>
          <w:w w:val="110"/>
          <w:sz w:val="14"/>
        </w:rPr>
        <w:t>C </w:t>
      </w:r>
      <w:r>
        <w:rPr>
          <w:w w:val="110"/>
          <w:position w:val="1"/>
        </w:rPr>
        <w:t>tures are crude, </w:t>
      </w:r>
      <w:r>
        <w:rPr>
          <w:w w:val="110"/>
        </w:rPr>
        <w:t>repetitive, and unimaginative, his best work displays a quality of character and intensity  worthy of  some  of  the  more  celebrated  artists of  the</w:t>
      </w:r>
      <w:r>
        <w:rPr>
          <w:spacing w:val="2"/>
          <w:w w:val="110"/>
        </w:rPr>
        <w:t> </w:t>
      </w:r>
      <w:r>
        <w:rPr>
          <w:w w:val="110"/>
        </w:rPr>
        <w:t>period.</w:t>
      </w:r>
    </w:p>
    <w:p>
      <w:pPr>
        <w:pStyle w:val="BodyText"/>
        <w:spacing w:line="230" w:lineRule="auto" w:before="17"/>
        <w:ind w:left="1103" w:right="107" w:firstLine="3"/>
        <w:jc w:val="both"/>
      </w:pPr>
      <w:r>
        <w:rPr>
          <w:w w:val="110"/>
        </w:rPr>
        <w:t>His style is ty</w:t>
      </w:r>
      <w:r>
        <w:rPr>
          <w:w w:val="110"/>
          <w:position w:val="-4"/>
          <w:sz w:val="20"/>
        </w:rPr>
        <w:t>P</w:t>
      </w:r>
      <w:r>
        <w:rPr>
          <w:w w:val="110"/>
        </w:rPr>
        <w:t>ically bold and sharply focused on the essential details. While as a portraitist most of his faces are types, he demonstrates a thorough fa- miliarity with English facial features.</w:t>
      </w:r>
    </w:p>
    <w:p>
      <w:pPr>
        <w:pStyle w:val="BodyText"/>
        <w:spacing w:before="31"/>
        <w:ind w:right="114"/>
        <w:jc w:val="right"/>
      </w:pPr>
      <w:r>
        <w:rPr>
          <w:w w:val="110"/>
        </w:rPr>
        <w:t>The  subject  matter  selected  for  illustration  varied  considerably  and</w:t>
      </w:r>
      <w:r>
        <w:rPr>
          <w:spacing w:val="15"/>
          <w:w w:val="110"/>
        </w:rPr>
        <w:t> </w:t>
      </w:r>
      <w:r>
        <w:rPr>
          <w:w w:val="110"/>
        </w:rPr>
        <w:t>re-</w:t>
      </w:r>
    </w:p>
    <w:p>
      <w:pPr>
        <w:pStyle w:val="BodyText"/>
        <w:spacing w:line="256" w:lineRule="auto" w:before="19"/>
        <w:ind w:left="1100" w:right="127" w:firstLine="1"/>
        <w:jc w:val="right"/>
      </w:pPr>
      <w:r>
        <w:rPr>
          <w:w w:val="105"/>
        </w:rPr>
        <w:t>flected the broad scope of Foxe’s historical</w:t>
      </w:r>
      <w:r>
        <w:rPr>
          <w:spacing w:val="47"/>
          <w:w w:val="105"/>
        </w:rPr>
        <w:t> </w:t>
      </w:r>
      <w:r>
        <w:rPr>
          <w:w w:val="105"/>
        </w:rPr>
        <w:t>treatment.  Readers</w:t>
      </w:r>
      <w:r>
        <w:rPr>
          <w:spacing w:val="3"/>
          <w:w w:val="105"/>
        </w:rPr>
        <w:t> </w:t>
      </w:r>
      <w:r>
        <w:rPr>
          <w:w w:val="105"/>
        </w:rPr>
        <w:t>were</w:t>
      </w:r>
      <w:r>
        <w:rPr>
          <w:spacing w:val="46"/>
          <w:w w:val="105"/>
        </w:rPr>
        <w:t> </w:t>
      </w:r>
      <w:r>
        <w:rPr>
          <w:w w:val="105"/>
        </w:rPr>
        <w:t>shown</w:t>
      </w:r>
      <w:r>
        <w:rPr>
          <w:spacing w:val="-1"/>
          <w:w w:val="104"/>
        </w:rPr>
        <w:t> </w:t>
      </w:r>
      <w:r>
        <w:rPr>
          <w:w w:val="105"/>
        </w:rPr>
        <w:t>such  scenes  as the  </w:t>
      </w:r>
      <w:r>
        <w:rPr>
          <w:b/>
          <w:w w:val="105"/>
        </w:rPr>
        <w:t>Holy  </w:t>
      </w:r>
      <w:r>
        <w:rPr>
          <w:w w:val="105"/>
        </w:rPr>
        <w:t>Roman  Em</w:t>
      </w:r>
      <w:r>
        <w:rPr>
          <w:w w:val="105"/>
          <w:position w:val="-4"/>
          <w:sz w:val="20"/>
        </w:rPr>
        <w:t>P</w:t>
      </w:r>
      <w:r>
        <w:rPr>
          <w:w w:val="105"/>
        </w:rPr>
        <w:t>eror  Henry  IV  waiting  barefoot  in</w:t>
      </w:r>
      <w:r>
        <w:rPr>
          <w:spacing w:val="24"/>
          <w:w w:val="105"/>
        </w:rPr>
        <w:t> </w:t>
      </w:r>
      <w:r>
        <w:rPr>
          <w:w w:val="105"/>
        </w:rPr>
        <w:t>the</w:t>
      </w:r>
    </w:p>
    <w:p>
      <w:pPr>
        <w:pStyle w:val="BodyText"/>
        <w:tabs>
          <w:tab w:pos="5551" w:val="left" w:leader="none"/>
        </w:tabs>
        <w:spacing w:line="177" w:lineRule="auto"/>
        <w:ind w:right="103"/>
        <w:jc w:val="right"/>
      </w:pPr>
      <w:r>
        <w:rPr>
          <w:w w:val="105"/>
        </w:rPr>
        <w:t>snow  outside  the  entrance   to  the   </w:t>
      </w:r>
      <w:r>
        <w:rPr>
          <w:w w:val="105"/>
          <w:position w:val="-4"/>
        </w:rPr>
        <w:t>r   </w:t>
      </w:r>
      <w:r>
        <w:rPr>
          <w:w w:val="105"/>
        </w:rPr>
        <w:t>pe’s  residence</w:t>
      </w:r>
      <w:r>
        <w:rPr>
          <w:spacing w:val="45"/>
          <w:w w:val="105"/>
        </w:rPr>
        <w:t> </w:t>
      </w:r>
      <w:r>
        <w:rPr>
          <w:w w:val="105"/>
        </w:rPr>
        <w:t>at </w:t>
      </w:r>
      <w:r>
        <w:rPr>
          <w:spacing w:val="10"/>
          <w:w w:val="105"/>
        </w:rPr>
        <w:t> </w:t>
      </w:r>
      <w:r>
        <w:rPr>
          <w:w w:val="105"/>
        </w:rPr>
        <w:t>Canossa;</w:t>
        <w:tab/>
      </w:r>
      <w:r>
        <w:rPr>
          <w:w w:val="105"/>
          <w:position w:val="-1"/>
        </w:rPr>
        <w:t>r </w:t>
      </w:r>
      <w:r>
        <w:rPr>
          <w:w w:val="105"/>
          <w:position w:val="2"/>
        </w:rPr>
        <w:t>e</w:t>
      </w:r>
      <w:r>
        <w:rPr>
          <w:spacing w:val="10"/>
          <w:w w:val="105"/>
          <w:position w:val="2"/>
        </w:rPr>
        <w:t> </w:t>
      </w:r>
      <w:r>
        <w:rPr>
          <w:w w:val="105"/>
        </w:rPr>
        <w:t>Alex-</w:t>
      </w:r>
    </w:p>
    <w:p>
      <w:pPr>
        <w:pStyle w:val="BodyText"/>
        <w:spacing w:line="216" w:lineRule="exact"/>
        <w:ind w:right="119"/>
        <w:jc w:val="right"/>
      </w:pPr>
      <w:r>
        <w:rPr>
          <w:w w:val="105"/>
        </w:rPr>
        <w:t>ander   III   trending  on  the  neck  of   the   E    </w:t>
      </w:r>
      <w:r>
        <w:rPr>
          <w:w w:val="105"/>
          <w:position w:val="-2"/>
        </w:rPr>
        <w:t>r </w:t>
      </w:r>
      <w:r>
        <w:rPr>
          <w:w w:val="105"/>
          <w:position w:val="1"/>
        </w:rPr>
        <w:t>eror  </w:t>
      </w:r>
      <w:r>
        <w:rPr>
          <w:w w:val="105"/>
        </w:rPr>
        <w:t>Frederick;   the  burning</w:t>
      </w:r>
      <w:r>
        <w:rPr>
          <w:spacing w:val="-11"/>
          <w:w w:val="105"/>
        </w:rPr>
        <w:t> </w:t>
      </w:r>
      <w:r>
        <w:rPr>
          <w:w w:val="105"/>
        </w:rPr>
        <w:t>of</w:t>
      </w:r>
    </w:p>
    <w:p>
      <w:pPr>
        <w:pStyle w:val="BodyText"/>
        <w:spacing w:line="199" w:lineRule="exact"/>
        <w:ind w:left="1091"/>
        <w:jc w:val="both"/>
      </w:pPr>
      <w:r>
        <w:rPr>
          <w:w w:val="105"/>
        </w:rPr>
        <w:t>John Wycliffe’s hones; and the hanging of Richard Hunne.</w:t>
      </w:r>
    </w:p>
    <w:p>
      <w:pPr>
        <w:pStyle w:val="BodyText"/>
        <w:spacing w:line="261" w:lineRule="auto"/>
        <w:ind w:left="1088" w:right="121" w:firstLine="198"/>
        <w:jc w:val="both"/>
      </w:pPr>
      <w:r>
        <w:rPr>
          <w:w w:val="110"/>
        </w:rPr>
        <w:t>The majority of the illustrations, however, dealt with the Marian persecu- tion itself. Protestant prisoners were shown being interrogated, bound in stocks, and tortured on the rack by their clerical  tormentors.  But it  was  in the depiction of the horror of the burnings that the  illustrations  achieved  their greatest and most emotional impact. Here interest might vary from the number of people suffering together, to a unique gesture at the stake, to</w:t>
      </w:r>
      <w:r>
        <w:rPr>
          <w:spacing w:val="35"/>
          <w:w w:val="110"/>
        </w:rPr>
        <w:t> </w:t>
      </w:r>
      <w:r>
        <w:rPr>
          <w:w w:val="110"/>
        </w:rPr>
        <w:t>the</w:t>
      </w:r>
    </w:p>
    <w:p>
      <w:pPr>
        <w:pStyle w:val="BodyText"/>
        <w:spacing w:before="2"/>
        <w:rPr>
          <w:sz w:val="21"/>
        </w:rPr>
      </w:pPr>
    </w:p>
    <w:p>
      <w:pPr>
        <w:pStyle w:val="BodyText"/>
        <w:spacing w:line="208" w:lineRule="auto"/>
        <w:ind w:left="1079" w:right="128" w:firstLine="186"/>
        <w:jc w:val="both"/>
      </w:pPr>
      <w:r>
        <w:rPr/>
        <w:t>'"Alfred W. Pollard, </w:t>
      </w:r>
      <w:r>
        <w:rPr>
          <w:i/>
        </w:rPr>
        <w:t>Fine Books </w:t>
      </w:r>
      <w:r>
        <w:rPr/>
        <w:t>(New York: Cooper Squares Publishers, Inc., </w:t>
      </w:r>
      <w:r>
        <w:rPr>
          <w:b/>
        </w:rPr>
        <w:t>1974), </w:t>
      </w:r>
      <w:r>
        <w:rPr/>
        <w:t>p. </w:t>
      </w:r>
      <w:r>
        <w:rPr>
          <w:b/>
        </w:rPr>
        <w:t>263: </w:t>
      </w:r>
      <w:r>
        <w:rPr/>
        <w:t>Leslie Mahin Oliver “The Actes and Monuments of John Foxe: A Study of the Crowth and Influence of a Book” (Ph.D. dissertation, Harvard Uni- versity, 1945), p. 145.</w:t>
      </w:r>
    </w:p>
    <w:p>
      <w:pPr>
        <w:spacing w:after="0" w:line="208" w:lineRule="auto"/>
        <w:jc w:val="both"/>
        <w:sectPr>
          <w:pgSz w:w="8370" w:h="13120"/>
          <w:pgMar w:top="1080" w:bottom="280" w:left="460" w:right="480"/>
        </w:sectPr>
      </w:pPr>
    </w:p>
    <w:p>
      <w:pPr>
        <w:pStyle w:val="BodyText"/>
        <w:tabs>
          <w:tab w:pos="2090" w:val="left" w:leader="none"/>
        </w:tabs>
        <w:spacing w:before="81"/>
        <w:ind w:left="128"/>
      </w:pPr>
      <w:r>
        <w:rPr>
          <w:w w:val="105"/>
        </w:rPr>
        <w:t>12</w:t>
        <w:tab/>
        <w:t>HISTORICAL MACAZI</w:t>
      </w:r>
      <w:r>
        <w:rPr>
          <w:spacing w:val="-27"/>
          <w:w w:val="105"/>
        </w:rPr>
        <w:t> </w:t>
      </w:r>
      <w:r>
        <w:rPr>
          <w:w w:val="105"/>
        </w:rPr>
        <w:t>NE</w:t>
      </w:r>
    </w:p>
    <w:p>
      <w:pPr>
        <w:pStyle w:val="BodyText"/>
        <w:spacing w:before="2"/>
        <w:rPr>
          <w:sz w:val="24"/>
        </w:rPr>
      </w:pPr>
    </w:p>
    <w:p>
      <w:pPr>
        <w:pStyle w:val="BodyText"/>
        <w:spacing w:line="264" w:lineRule="auto"/>
        <w:ind w:left="137" w:right="1078" w:hanging="5"/>
        <w:jc w:val="both"/>
      </w:pPr>
      <w:r>
        <w:rPr>
          <w:w w:val="110"/>
        </w:rPr>
        <w:t>especially agonizing death of one of the victims. But whatever the particular focus, Foxe and his illustrator were at their dramatic best  in  these  scenes (see plates 2 and</w:t>
      </w:r>
      <w:r>
        <w:rPr>
          <w:spacing w:val="-11"/>
          <w:w w:val="110"/>
        </w:rPr>
        <w:t> </w:t>
      </w:r>
      <w:r>
        <w:rPr>
          <w:w w:val="110"/>
        </w:rPr>
        <w:t>3).</w:t>
      </w:r>
    </w:p>
    <w:p>
      <w:pPr>
        <w:pStyle w:val="BodyText"/>
        <w:spacing w:line="261" w:lineRule="auto"/>
        <w:ind w:left="124" w:right="1070" w:firstLine="212"/>
        <w:jc w:val="both"/>
      </w:pPr>
      <w:r>
        <w:rPr>
          <w:w w:val="110"/>
        </w:rPr>
        <w:t>Through all the illustrations the basic themes remained constant, closely paralleling those of the written text. In one way or another most of the pic- tures called attention to the cruelty of the papist tormentors, depicted with</w:t>
      </w:r>
    </w:p>
    <w:p>
      <w:pPr>
        <w:pStyle w:val="BodyText"/>
        <w:spacing w:line="237" w:lineRule="auto"/>
        <w:ind w:left="123" w:right="1070"/>
        <w:jc w:val="both"/>
      </w:pPr>
      <w:r>
        <w:rPr>
          <w:w w:val="110"/>
        </w:rPr>
        <w:t>all their unsavory attributes, and the triu </w:t>
      </w:r>
      <w:r>
        <w:rPr>
          <w:w w:val="110"/>
          <w:position w:val="-3"/>
        </w:rPr>
        <w:t>r </w:t>
      </w:r>
      <w:r>
        <w:rPr>
          <w:w w:val="110"/>
          <w:position w:val="1"/>
        </w:rPr>
        <w:t>hant  </w:t>
      </w:r>
      <w:r>
        <w:rPr>
          <w:w w:val="110"/>
        </w:rPr>
        <w:t>witness  of  the  martyrs, whose courage and steadfastness in suffering are reflected in the serenity of their</w:t>
      </w:r>
      <w:r>
        <w:rPr>
          <w:spacing w:val="9"/>
          <w:w w:val="110"/>
        </w:rPr>
        <w:t> </w:t>
      </w:r>
      <w:r>
        <w:rPr>
          <w:w w:val="110"/>
        </w:rPr>
        <w:t>countenances.</w:t>
      </w:r>
    </w:p>
    <w:p>
      <w:pPr>
        <w:pStyle w:val="BodyText"/>
        <w:spacing w:line="237" w:lineRule="auto"/>
        <w:ind w:left="133" w:right="1086" w:firstLine="192"/>
        <w:jc w:val="both"/>
      </w:pPr>
      <w:r>
        <w:rPr>
          <w:w w:val="105"/>
        </w:rPr>
        <w:t>The title page of the</w:t>
      </w:r>
      <w:r>
        <w:rPr>
          <w:spacing w:val="47"/>
          <w:w w:val="105"/>
        </w:rPr>
        <w:t> </w:t>
      </w:r>
      <w:r>
        <w:rPr>
          <w:w w:val="105"/>
        </w:rPr>
        <w:t>first  edition  in  1563 is  </w:t>
      </w:r>
      <w:r>
        <w:rPr>
          <w:w w:val="105"/>
          <w:position w:val="-3"/>
        </w:rPr>
        <w:t>9  r </w:t>
      </w:r>
      <w:r>
        <w:rPr>
          <w:w w:val="105"/>
          <w:position w:val="2"/>
        </w:rPr>
        <w:t>ical  </w:t>
      </w:r>
      <w:r>
        <w:rPr>
          <w:w w:val="105"/>
        </w:rPr>
        <w:t>of  Foxe’s  approach and sets the tone for the other illustrations (see plate 4). An elaborate  pro- duction  consisting   of   seven  separate   but  related   scenes,  the   page </w:t>
      </w:r>
      <w:r>
        <w:rPr>
          <w:spacing w:val="30"/>
          <w:w w:val="105"/>
        </w:rPr>
        <w:t> </w:t>
      </w:r>
      <w:r>
        <w:rPr>
          <w:w w:val="105"/>
        </w:rPr>
        <w:t>depicts</w:t>
      </w:r>
    </w:p>
    <w:p>
      <w:pPr>
        <w:pStyle w:val="BodyText"/>
        <w:spacing w:line="259" w:lineRule="auto" w:before="17"/>
        <w:ind w:left="123" w:right="1091" w:firstLine="4"/>
        <w:jc w:val="both"/>
      </w:pPr>
      <w:r>
        <w:rPr>
          <w:w w:val="110"/>
        </w:rPr>
        <w:t>Christ’s judgement upon the persecuted and the persecuting churches—a favorite theme of Protestant polemics. Moving from bottom to top the reader is shown  three  pairs  of  contrasting  scenes:  a </w:t>
      </w:r>
      <w:r>
        <w:rPr>
          <w:spacing w:val="2"/>
          <w:w w:val="110"/>
          <w:position w:val="1"/>
        </w:rPr>
        <w:t>grou</w:t>
      </w:r>
      <w:r>
        <w:rPr>
          <w:spacing w:val="2"/>
          <w:w w:val="110"/>
          <w:position w:val="-2"/>
        </w:rPr>
        <w:t>r    </w:t>
      </w:r>
      <w:r>
        <w:rPr>
          <w:w w:val="110"/>
        </w:rPr>
        <w:t>I Protestant</w:t>
      </w:r>
      <w:r>
        <w:rPr>
          <w:spacing w:val="49"/>
          <w:w w:val="110"/>
        </w:rPr>
        <w:t> </w:t>
      </w:r>
      <w:r>
        <w:rPr>
          <w:w w:val="110"/>
        </w:rPr>
        <w:t>men</w:t>
      </w:r>
      <w:r>
        <w:rPr>
          <w:spacing w:val="14"/>
          <w:w w:val="110"/>
        </w:rPr>
        <w:t> </w:t>
      </w:r>
      <w:r>
        <w:rPr>
          <w:w w:val="110"/>
        </w:rPr>
        <w:t>and</w:t>
      </w:r>
    </w:p>
    <w:p>
      <w:pPr>
        <w:pStyle w:val="BodyText"/>
        <w:spacing w:line="196" w:lineRule="auto"/>
        <w:ind w:left="124"/>
        <w:jc w:val="both"/>
      </w:pPr>
      <w:r>
        <w:rPr>
          <w:w w:val="110"/>
        </w:rPr>
        <w:t>women  listening to a preacher, Bibles   </w:t>
      </w:r>
      <w:r>
        <w:rPr>
          <w:w w:val="110"/>
          <w:position w:val="-3"/>
        </w:rPr>
        <w:t>r </w:t>
      </w:r>
      <w:r>
        <w:rPr>
          <w:w w:val="110"/>
          <w:position w:val="1"/>
        </w:rPr>
        <w:t>en </w:t>
      </w:r>
      <w:r>
        <w:rPr>
          <w:w w:val="110"/>
        </w:rPr>
        <w:t>on their  laps, contrasted  with </w:t>
      </w:r>
      <w:r>
        <w:rPr>
          <w:spacing w:val="45"/>
          <w:w w:val="110"/>
        </w:rPr>
        <w:t> </w:t>
      </w:r>
      <w:r>
        <w:rPr>
          <w:w w:val="110"/>
        </w:rPr>
        <w:t>a</w:t>
      </w:r>
    </w:p>
    <w:p>
      <w:pPr>
        <w:pStyle w:val="BodyText"/>
        <w:spacing w:line="194" w:lineRule="exact"/>
        <w:ind w:left="128"/>
        <w:jc w:val="both"/>
      </w:pPr>
      <w:r>
        <w:rPr>
          <w:w w:val="110"/>
        </w:rPr>
        <w:t>Catholic  group  being  instructed  by  a  priest,  rosaries  in  their  hands,  as</w:t>
      </w:r>
      <w:r>
        <w:rPr>
          <w:spacing w:val="18"/>
          <w:w w:val="110"/>
        </w:rPr>
        <w:t> </w:t>
      </w:r>
      <w:r>
        <w:rPr>
          <w:w w:val="110"/>
        </w:rPr>
        <w:t>a</w:t>
      </w:r>
    </w:p>
    <w:p>
      <w:pPr>
        <w:pStyle w:val="BodyText"/>
        <w:spacing w:line="249" w:lineRule="auto" w:before="7"/>
        <w:ind w:left="118" w:right="1087" w:firstLine="12"/>
        <w:jc w:val="both"/>
      </w:pPr>
      <w:r>
        <w:rPr>
          <w:w w:val="110"/>
        </w:rPr>
        <w:t>procession marches toward a crucifix in the background;  Protestant martyrs in flames at the stake, contrasted with Catholics at the mass, kneeling at the elevation of the host; and the risen Protestant saints in heaven, crowns upon their heads, </w:t>
      </w:r>
      <w:r>
        <w:rPr>
          <w:w w:val="110"/>
          <w:position w:val="-2"/>
        </w:rPr>
        <w:t>r </w:t>
      </w:r>
      <w:r>
        <w:rPr>
          <w:w w:val="110"/>
          <w:position w:val="1"/>
        </w:rPr>
        <w:t>alms </w:t>
      </w:r>
      <w:r>
        <w:rPr>
          <w:w w:val="110"/>
        </w:rPr>
        <w:t>in their hands, and trumpets at their lips, contrasted with Catholic priests being cast  down  to  hell  by devils.  At  the  top  of  the</w:t>
      </w:r>
      <w:r>
        <w:rPr>
          <w:spacing w:val="30"/>
          <w:w w:val="110"/>
        </w:rPr>
        <w:t> </w:t>
      </w:r>
      <w:r>
        <w:rPr>
          <w:w w:val="110"/>
        </w:rPr>
        <w:t>page</w:t>
      </w:r>
    </w:p>
    <w:p>
      <w:pPr>
        <w:pStyle w:val="BodyText"/>
        <w:spacing w:line="235" w:lineRule="auto" w:before="9"/>
        <w:ind w:left="124" w:right="1074" w:hanging="2"/>
        <w:jc w:val="both"/>
      </w:pPr>
      <w:r>
        <w:rPr>
          <w:w w:val="110"/>
        </w:rPr>
        <w:t>Christ the Judge </w:t>
      </w:r>
      <w:r>
        <w:rPr>
          <w:w w:val="110"/>
          <w:position w:val="-3"/>
        </w:rPr>
        <w:t>r </w:t>
      </w:r>
      <w:r>
        <w:rPr>
          <w:w w:val="110"/>
        </w:rPr>
        <w:t>resides over all, £anked on either side by trumpeting an- gels, the world at his feet. The message may be a simple and  familiar  one, but it is told with unmistakable</w:t>
      </w:r>
      <w:r>
        <w:rPr>
          <w:spacing w:val="23"/>
          <w:w w:val="110"/>
        </w:rPr>
        <w:t> </w:t>
      </w:r>
      <w:r>
        <w:rPr>
          <w:w w:val="110"/>
        </w:rPr>
        <w:t>power.</w:t>
      </w:r>
    </w:p>
    <w:p>
      <w:pPr>
        <w:pStyle w:val="BodyText"/>
        <w:spacing w:before="26"/>
        <w:ind w:left="322"/>
        <w:jc w:val="both"/>
      </w:pPr>
      <w:r>
        <w:rPr>
          <w:w w:val="110"/>
        </w:rPr>
        <w:t>In several of the illustrations Bishop Edmund Bonner is cast as the arch-</w:t>
      </w:r>
    </w:p>
    <w:p>
      <w:pPr>
        <w:pStyle w:val="BodyText"/>
        <w:spacing w:before="5"/>
        <w:rPr>
          <w:sz w:val="14"/>
        </w:rPr>
      </w:pPr>
      <w:r>
        <w:rPr/>
        <w:drawing>
          <wp:anchor distT="0" distB="0" distL="0" distR="0" allowOverlap="1" layoutInCell="1" locked="0" behindDoc="0" simplePos="0" relativeHeight="3">
            <wp:simplePos x="0" y="0"/>
            <wp:positionH relativeFrom="page">
              <wp:posOffset>542518</wp:posOffset>
            </wp:positionH>
            <wp:positionV relativeFrom="paragraph">
              <wp:posOffset>130689</wp:posOffset>
            </wp:positionV>
            <wp:extent cx="3590482" cy="2773680"/>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3590482" cy="2773680"/>
                    </a:xfrm>
                    <a:prstGeom prst="rect">
                      <a:avLst/>
                    </a:prstGeom>
                  </pic:spPr>
                </pic:pic>
              </a:graphicData>
            </a:graphic>
          </wp:anchor>
        </w:drawing>
      </w:r>
    </w:p>
    <w:p>
      <w:pPr>
        <w:pStyle w:val="BodyText"/>
        <w:spacing w:before="124"/>
        <w:ind w:left="1925" w:right="2927"/>
        <w:jc w:val="center"/>
      </w:pPr>
      <w:r>
        <w:rPr>
          <w:w w:val="110"/>
        </w:rPr>
        <w:t>Plate 3</w:t>
      </w:r>
    </w:p>
    <w:p>
      <w:pPr>
        <w:spacing w:after="0"/>
        <w:jc w:val="center"/>
        <w:sectPr>
          <w:pgSz w:w="8370" w:h="13120"/>
          <w:pgMar w:top="980" w:bottom="280" w:left="460" w:right="480"/>
        </w:sectPr>
      </w:pPr>
    </w:p>
    <w:p>
      <w:pPr>
        <w:pStyle w:val="Heading2"/>
        <w:tabs>
          <w:tab w:pos="7359" w:val="right" w:leader="none"/>
        </w:tabs>
        <w:spacing w:before="68"/>
        <w:ind w:left="1995"/>
        <w:jc w:val="left"/>
        <w:rPr>
          <w:rFonts w:ascii="Arial"/>
        </w:rPr>
      </w:pPr>
      <w:r>
        <w:rPr/>
        <w:drawing>
          <wp:anchor distT="0" distB="0" distL="0" distR="0" allowOverlap="1" layoutInCell="1" locked="0" behindDoc="1" simplePos="0" relativeHeight="487420416">
            <wp:simplePos x="0" y="0"/>
            <wp:positionH relativeFrom="page">
              <wp:posOffset>902164</wp:posOffset>
            </wp:positionH>
            <wp:positionV relativeFrom="paragraph">
              <wp:posOffset>540119</wp:posOffset>
            </wp:positionV>
            <wp:extent cx="4065837" cy="6376416"/>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4065837" cy="6376416"/>
                    </a:xfrm>
                    <a:prstGeom prst="rect">
                      <a:avLst/>
                    </a:prstGeom>
                  </pic:spPr>
                </pic:pic>
              </a:graphicData>
            </a:graphic>
          </wp:anchor>
        </w:drawing>
      </w:r>
      <w:r>
        <w:rPr>
          <w:position w:val="1"/>
        </w:rPr>
        <w:t>ICONOCRAPHY OF FOXE'S ROOK</w:t>
      </w:r>
      <w:r>
        <w:rPr>
          <w:spacing w:val="19"/>
          <w:position w:val="1"/>
        </w:rPr>
        <w:t> </w:t>
      </w:r>
      <w:r>
        <w:rPr>
          <w:position w:val="1"/>
        </w:rPr>
        <w:t>OF</w:t>
      </w:r>
      <w:r>
        <w:rPr>
          <w:spacing w:val="32"/>
          <w:position w:val="1"/>
        </w:rPr>
        <w:t> </w:t>
      </w:r>
      <w:r>
        <w:rPr>
          <w:position w:val="1"/>
        </w:rPr>
        <w:t>MARTYRS</w:t>
        <w:tab/>
      </w:r>
      <w:r>
        <w:rPr>
          <w:rFonts w:ascii="Arial"/>
        </w:rPr>
        <w:t>13</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7"/>
        <w:rPr>
          <w:rFonts w:ascii="Arial"/>
          <w:sz w:val="21"/>
        </w:rPr>
      </w:pPr>
    </w:p>
    <w:p>
      <w:pPr>
        <w:spacing w:before="0"/>
        <w:ind w:left="2942" w:right="1988" w:firstLine="0"/>
        <w:jc w:val="center"/>
        <w:rPr>
          <w:sz w:val="36"/>
        </w:rPr>
      </w:pPr>
      <w:r>
        <w:rPr>
          <w:position w:val="1"/>
          <w:sz w:val="36"/>
        </w:rPr>
        <w:t>and Vlonu</w:t>
      </w:r>
      <w:r>
        <w:rPr>
          <w:spacing w:val="-70"/>
          <w:position w:val="1"/>
          <w:sz w:val="36"/>
        </w:rPr>
        <w:t> </w:t>
      </w:r>
      <w:r>
        <w:rPr>
          <w:sz w:val="36"/>
        </w:rPr>
        <w:t>ments</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6"/>
        <w:rPr>
          <w:sz w:val="41"/>
        </w:rPr>
      </w:pPr>
    </w:p>
    <w:p>
      <w:pPr>
        <w:pStyle w:val="Heading2"/>
        <w:ind w:left="2942" w:right="2034"/>
        <w:jc w:val="center"/>
      </w:pPr>
      <w:r>
        <w:rPr>
          <w:w w:val="105"/>
        </w:rPr>
        <w:t>Plate 4</w:t>
      </w:r>
    </w:p>
    <w:p>
      <w:pPr>
        <w:spacing w:after="0"/>
        <w:jc w:val="center"/>
        <w:sectPr>
          <w:pgSz w:w="8370" w:h="13110"/>
          <w:pgMar w:top="940" w:bottom="280" w:left="400" w:right="500"/>
        </w:sectPr>
      </w:pPr>
    </w:p>
    <w:p>
      <w:pPr>
        <w:tabs>
          <w:tab w:pos="2140" w:val="left" w:leader="none"/>
        </w:tabs>
        <w:spacing w:before="82"/>
        <w:ind w:left="155" w:right="0" w:firstLine="0"/>
        <w:jc w:val="left"/>
        <w:rPr>
          <w:sz w:val="19"/>
        </w:rPr>
      </w:pPr>
      <w:r>
        <w:rPr>
          <w:position w:val="2"/>
          <w:sz w:val="18"/>
        </w:rPr>
        <w:t>14</w:t>
        <w:tab/>
      </w:r>
      <w:r>
        <w:rPr>
          <w:sz w:val="19"/>
        </w:rPr>
        <w:t>HISTORICAL</w:t>
      </w:r>
      <w:r>
        <w:rPr>
          <w:spacing w:val="38"/>
          <w:sz w:val="19"/>
        </w:rPr>
        <w:t> </w:t>
      </w:r>
      <w:r>
        <w:rPr>
          <w:sz w:val="19"/>
        </w:rPr>
        <w:t>MAGAZINE</w:t>
      </w:r>
    </w:p>
    <w:p>
      <w:pPr>
        <w:pStyle w:val="BodyText"/>
        <w:rPr>
          <w:sz w:val="20"/>
        </w:rPr>
      </w:pPr>
    </w:p>
    <w:p>
      <w:pPr>
        <w:pStyle w:val="BodyText"/>
        <w:spacing w:before="6"/>
      </w:pPr>
      <w:r>
        <w:rPr/>
        <w:drawing>
          <wp:anchor distT="0" distB="0" distL="0" distR="0" allowOverlap="1" layoutInCell="1" locked="0" behindDoc="0" simplePos="0" relativeHeight="5">
            <wp:simplePos x="0" y="0"/>
            <wp:positionH relativeFrom="page">
              <wp:posOffset>380981</wp:posOffset>
            </wp:positionH>
            <wp:positionV relativeFrom="paragraph">
              <wp:posOffset>160321</wp:posOffset>
            </wp:positionV>
            <wp:extent cx="3907349" cy="2895600"/>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3907349" cy="2895600"/>
                    </a:xfrm>
                    <a:prstGeom prst="rect">
                      <a:avLst/>
                    </a:prstGeom>
                  </pic:spPr>
                </pic:pic>
              </a:graphicData>
            </a:graphic>
          </wp:anchor>
        </w:drawing>
      </w:r>
    </w:p>
    <w:p>
      <w:pPr>
        <w:spacing w:before="48"/>
        <w:ind w:left="1107" w:right="2043" w:firstLine="0"/>
        <w:jc w:val="center"/>
        <w:rPr>
          <w:sz w:val="19"/>
        </w:rPr>
      </w:pPr>
      <w:r>
        <w:rPr>
          <w:w w:val="105"/>
          <w:sz w:val="19"/>
        </w:rPr>
        <w:t>Plate</w:t>
      </w:r>
      <w:r>
        <w:rPr>
          <w:spacing w:val="-6"/>
          <w:w w:val="105"/>
          <w:sz w:val="19"/>
        </w:rPr>
        <w:t> </w:t>
      </w:r>
      <w:r>
        <w:rPr>
          <w:w w:val="105"/>
          <w:sz w:val="19"/>
        </w:rPr>
        <w:t>5</w:t>
      </w:r>
    </w:p>
    <w:p>
      <w:pPr>
        <w:pStyle w:val="BodyText"/>
        <w:rPr>
          <w:sz w:val="20"/>
        </w:rPr>
      </w:pPr>
    </w:p>
    <w:p>
      <w:pPr>
        <w:pStyle w:val="BodyText"/>
        <w:rPr>
          <w:sz w:val="20"/>
        </w:rPr>
      </w:pPr>
    </w:p>
    <w:p>
      <w:pPr>
        <w:pStyle w:val="BodyText"/>
        <w:rPr>
          <w:sz w:val="20"/>
        </w:rPr>
      </w:pPr>
    </w:p>
    <w:p>
      <w:pPr>
        <w:pStyle w:val="BodyText"/>
        <w:spacing w:before="1"/>
        <w:rPr>
          <w:sz w:val="11"/>
        </w:rPr>
      </w:pPr>
      <w:r>
        <w:rPr/>
        <w:drawing>
          <wp:anchor distT="0" distB="0" distL="0" distR="0" allowOverlap="1" layoutInCell="1" locked="0" behindDoc="0" simplePos="0" relativeHeight="6">
            <wp:simplePos x="0" y="0"/>
            <wp:positionH relativeFrom="page">
              <wp:posOffset>320024</wp:posOffset>
            </wp:positionH>
            <wp:positionV relativeFrom="paragraph">
              <wp:posOffset>105776</wp:posOffset>
            </wp:positionV>
            <wp:extent cx="3986593" cy="2904744"/>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3986593" cy="2904744"/>
                    </a:xfrm>
                    <a:prstGeom prst="rect">
                      <a:avLst/>
                    </a:prstGeom>
                  </pic:spPr>
                </pic:pic>
              </a:graphicData>
            </a:graphic>
          </wp:anchor>
        </w:drawing>
      </w:r>
    </w:p>
    <w:p>
      <w:pPr>
        <w:spacing w:before="9"/>
        <w:ind w:left="1048" w:right="2043" w:firstLine="0"/>
        <w:jc w:val="center"/>
        <w:rPr>
          <w:sz w:val="19"/>
        </w:rPr>
      </w:pPr>
      <w:r>
        <w:rPr>
          <w:w w:val="105"/>
          <w:sz w:val="19"/>
        </w:rPr>
        <w:t>Plate</w:t>
      </w:r>
      <w:r>
        <w:rPr>
          <w:spacing w:val="1"/>
          <w:w w:val="105"/>
          <w:sz w:val="19"/>
        </w:rPr>
        <w:t> </w:t>
      </w:r>
      <w:r>
        <w:rPr>
          <w:w w:val="105"/>
          <w:sz w:val="19"/>
        </w:rPr>
        <w:t>6</w:t>
      </w:r>
    </w:p>
    <w:p>
      <w:pPr>
        <w:spacing w:after="0"/>
        <w:jc w:val="center"/>
        <w:rPr>
          <w:sz w:val="19"/>
        </w:rPr>
        <w:sectPr>
          <w:pgSz w:w="8370" w:h="13110"/>
          <w:pgMar w:top="940" w:bottom="280" w:left="400" w:right="500"/>
        </w:sectPr>
      </w:pPr>
    </w:p>
    <w:p>
      <w:pPr>
        <w:tabs>
          <w:tab w:pos="7210" w:val="right" w:leader="none"/>
        </w:tabs>
        <w:spacing w:before="72"/>
        <w:ind w:left="1837" w:right="0" w:firstLine="0"/>
        <w:jc w:val="left"/>
        <w:rPr>
          <w:sz w:val="19"/>
        </w:rPr>
      </w:pPr>
      <w:r>
        <w:rPr>
          <w:sz w:val="19"/>
        </w:rPr>
        <w:t>ICONOGRAPHY OF FOXE’S BOOK</w:t>
      </w:r>
      <w:r>
        <w:rPr>
          <w:spacing w:val="17"/>
          <w:sz w:val="19"/>
        </w:rPr>
        <w:t> </w:t>
      </w:r>
      <w:r>
        <w:rPr>
          <w:sz w:val="19"/>
        </w:rPr>
        <w:t>OF</w:t>
      </w:r>
      <w:r>
        <w:rPr>
          <w:spacing w:val="30"/>
          <w:sz w:val="19"/>
        </w:rPr>
        <w:t> </w:t>
      </w:r>
      <w:r>
        <w:rPr>
          <w:sz w:val="19"/>
        </w:rPr>
        <w:t>MARTYRS</w:t>
        <w:tab/>
        <w:t>15</w:t>
      </w:r>
    </w:p>
    <w:p>
      <w:pPr>
        <w:pStyle w:val="BodyText"/>
        <w:spacing w:before="6"/>
        <w:rPr>
          <w:sz w:val="23"/>
        </w:rPr>
      </w:pPr>
    </w:p>
    <w:p>
      <w:pPr>
        <w:pStyle w:val="BodyText"/>
        <w:spacing w:line="264" w:lineRule="auto"/>
        <w:ind w:left="965" w:right="135" w:firstLine="7"/>
        <w:jc w:val="both"/>
        <w:rPr>
          <w:sz w:val="17"/>
        </w:rPr>
      </w:pPr>
      <w:r>
        <w:rPr>
          <w:w w:val="105"/>
        </w:rPr>
        <w:t>villain among the persecutors. “Among all the Bishops,” Foxe wrote, “Boner bishop of London was the greatest boucher</w:t>
      </w:r>
      <w:r>
        <w:rPr>
          <w:spacing w:val="47"/>
          <w:w w:val="105"/>
        </w:rPr>
        <w:t> </w:t>
      </w:r>
      <w:r>
        <w:rPr>
          <w:w w:val="105"/>
        </w:rPr>
        <w:t>against  the  poore  members  &amp; saints of Christ.”</w:t>
      </w:r>
      <w:r>
        <w:rPr>
          <w:w w:val="105"/>
          <w:position w:val="5"/>
          <w:sz w:val="13"/>
        </w:rPr>
        <w:t>1</w:t>
      </w:r>
      <w:r>
        <w:rPr>
          <w:w w:val="105"/>
        </w:rPr>
        <w:t>* As Bishop of  London,  of  course,  he  was bound to handle   a disproportionately large share of the cases. His coarse personality and im- posing style also contributed to his</w:t>
      </w:r>
      <w:r>
        <w:rPr>
          <w:spacing w:val="47"/>
          <w:w w:val="105"/>
        </w:rPr>
        <w:t> </w:t>
      </w:r>
      <w:r>
        <w:rPr>
          <w:w w:val="105"/>
        </w:rPr>
        <w:t>unen viable  reputation.  Recent  scholar- ship, however, has to some extent exonerated him of</w:t>
      </w:r>
      <w:r>
        <w:rPr>
          <w:spacing w:val="47"/>
          <w:w w:val="105"/>
        </w:rPr>
        <w:t> </w:t>
      </w:r>
      <w:r>
        <w:rPr>
          <w:w w:val="105"/>
        </w:rPr>
        <w:t>the  charge  of  blood- </w:t>
      </w:r>
      <w:r>
        <w:rPr>
          <w:w w:val="105"/>
          <w:sz w:val="17"/>
        </w:rPr>
        <w:t>thirsty</w:t>
      </w:r>
      <w:r>
        <w:rPr>
          <w:spacing w:val="17"/>
          <w:w w:val="105"/>
          <w:sz w:val="17"/>
        </w:rPr>
        <w:t> </w:t>
      </w:r>
      <w:r>
        <w:rPr>
          <w:w w:val="105"/>
          <w:sz w:val="17"/>
        </w:rPr>
        <w:t>persecutor.</w:t>
      </w:r>
      <w:r>
        <w:rPr>
          <w:w w:val="105"/>
          <w:position w:val="5"/>
          <w:sz w:val="13"/>
        </w:rPr>
        <w:t>1</w:t>
      </w:r>
      <w:r>
        <w:rPr>
          <w:w w:val="105"/>
          <w:sz w:val="17"/>
        </w:rPr>
        <w:t>*</w:t>
      </w:r>
    </w:p>
    <w:p>
      <w:pPr>
        <w:pStyle w:val="BodyText"/>
        <w:spacing w:line="261" w:lineRule="auto"/>
        <w:ind w:left="957" w:right="144" w:firstLine="216"/>
        <w:jc w:val="both"/>
        <w:rPr>
          <w:sz w:val="19"/>
        </w:rPr>
      </w:pPr>
      <w:r>
        <w:rPr>
          <w:w w:val="110"/>
        </w:rPr>
        <w:t>In one picture a group of Protestant  men  and  women  from  Colchester are shown bound together and being marched off to “Boners stall,” who “for more bloude styll dothe call” (see plate 5). A young woman among them is shown glancing back in resignation, perhaps toward family, friends, or home </w:t>
      </w:r>
      <w:r>
        <w:rPr>
          <w:w w:val="110"/>
          <w:sz w:val="19"/>
        </w:rPr>
        <w:t>left</w:t>
      </w:r>
      <w:r>
        <w:rPr>
          <w:spacing w:val="2"/>
          <w:w w:val="110"/>
          <w:sz w:val="19"/>
        </w:rPr>
        <w:t> </w:t>
      </w:r>
      <w:r>
        <w:rPr>
          <w:w w:val="110"/>
          <w:sz w:val="19"/>
        </w:rPr>
        <w:t>behind.</w:t>
      </w:r>
    </w:p>
    <w:p>
      <w:pPr>
        <w:pStyle w:val="BodyText"/>
        <w:spacing w:line="261" w:lineRule="auto"/>
        <w:ind w:left="953" w:right="147" w:firstLine="216"/>
        <w:jc w:val="both"/>
      </w:pPr>
      <w:r>
        <w:rPr>
          <w:w w:val="105"/>
        </w:rPr>
        <w:t>In another picture Bonner himself is depicted whipping</w:t>
      </w:r>
      <w:r>
        <w:rPr>
          <w:spacing w:val="47"/>
          <w:w w:val="105"/>
        </w:rPr>
        <w:t> </w:t>
      </w:r>
      <w:r>
        <w:rPr>
          <w:w w:val="105"/>
        </w:rPr>
        <w:t>a  bearded  Prot- estant prisoner in his</w:t>
      </w:r>
      <w:r>
        <w:rPr>
          <w:spacing w:val="47"/>
          <w:w w:val="105"/>
        </w:rPr>
        <w:t> </w:t>
      </w:r>
      <w:r>
        <w:rPr>
          <w:w w:val="105"/>
        </w:rPr>
        <w:t>orchard,  as  his  attendants  cover  their  faces  or  turn away to avoid the sight (see plate 6). According to Sir John Harington, when Bonner was shown</w:t>
      </w:r>
      <w:r>
        <w:rPr>
          <w:spacing w:val="47"/>
          <w:w w:val="105"/>
        </w:rPr>
        <w:t> </w:t>
      </w:r>
      <w:r>
        <w:rPr>
          <w:w w:val="105"/>
        </w:rPr>
        <w:t>the  print  he  laughed  and  said:  “A  vengeance  of  the foole,  how</w:t>
      </w:r>
      <w:r>
        <w:rPr>
          <w:spacing w:val="47"/>
          <w:w w:val="105"/>
        </w:rPr>
        <w:t> </w:t>
      </w:r>
      <w:r>
        <w:rPr>
          <w:w w:val="105"/>
        </w:rPr>
        <w:t>could  he  get  my  picture  drawne  so  right?”   When  reproached for whipping an old man with a beard, he replied, “If thou hadst  bene  in  his case, thou wouldst have thought it a  good  commutacion  of  penance,  to have thy  bumme  beaten,  to save  thy  bodie  from  burning.” </w:t>
      </w:r>
      <w:r>
        <w:rPr>
          <w:w w:val="105"/>
          <w:position w:val="5"/>
          <w:sz w:val="11"/>
        </w:rPr>
        <w:t>I  </w:t>
      </w:r>
      <w:r>
        <w:rPr>
          <w:w w:val="105"/>
        </w:rPr>
        <w:t>Assuming  the  words to be Bonner’s, there would seem to be an unintended irony in this image, considering his reputation as heartless</w:t>
      </w:r>
      <w:r>
        <w:rPr>
          <w:spacing w:val="5"/>
          <w:w w:val="105"/>
        </w:rPr>
        <w:t> </w:t>
      </w:r>
      <w:r>
        <w:rPr>
          <w:w w:val="105"/>
        </w:rPr>
        <w:t>persecutor.</w:t>
      </w:r>
    </w:p>
    <w:p>
      <w:pPr>
        <w:pStyle w:val="BodyText"/>
        <w:spacing w:line="264" w:lineRule="auto"/>
        <w:ind w:left="949" w:right="156" w:firstLine="209"/>
        <w:jc w:val="both"/>
      </w:pPr>
      <w:r>
        <w:rPr>
          <w:w w:val="110"/>
        </w:rPr>
        <w:t>In both text and illustrations the treatment of the burning of the three Oxford martyrs, Latimer, Ridley, and Cranmer,  repesented  the  dramatic high point of Foxe’s work. In March, 1554 the three reformers had been transferred from London to Oxford, where they had been examined and condemned. Owing to questions concerning the legality of their sentences, however, their executions had been delayed until the following</w:t>
      </w:r>
      <w:r>
        <w:rPr>
          <w:spacing w:val="20"/>
          <w:w w:val="110"/>
        </w:rPr>
        <w:t> </w:t>
      </w:r>
      <w:r>
        <w:rPr>
          <w:w w:val="110"/>
        </w:rPr>
        <w:t>year.</w:t>
      </w:r>
    </w:p>
    <w:p>
      <w:pPr>
        <w:pStyle w:val="BodyText"/>
        <w:spacing w:line="261" w:lineRule="auto"/>
        <w:ind w:left="945" w:right="155" w:firstLine="209"/>
        <w:jc w:val="both"/>
        <w:rPr>
          <w:sz w:val="11"/>
        </w:rPr>
      </w:pPr>
      <w:r>
        <w:rPr>
          <w:w w:val="110"/>
        </w:rPr>
        <w:t>In September, 1555 Latimer and Ridley were again tried and condemned. On October 16 they were burned together just outside the city wall, “in the Dytch over agaynste Baily College.” The woodcut of the burning is one of Foxe’s most elaborate (see plate 7). The two men are shown chained back to back to a common stake. Armed soldiers form a circle to keep the crowd of onlookers at a safe distance. City and university officials sit to the side, while Richard Smith preaches the sermon. The text for the occasion was I Corin- thians 13: 3: “If I yelde my bodie to the fler to bee burnte, and have not Charitie, I shall gaine nothing therby.” Cranmer is shown  observing  the whole scene from atop the nearby Bocardo prison, where he was being de- </w:t>
      </w:r>
      <w:r>
        <w:rPr>
          <w:w w:val="110"/>
          <w:sz w:val="17"/>
        </w:rPr>
        <w:t>tained at the time.</w:t>
      </w:r>
      <w:r>
        <w:rPr>
          <w:w w:val="110"/>
          <w:position w:val="5"/>
          <w:sz w:val="13"/>
        </w:rPr>
        <w:t>1</w:t>
      </w:r>
      <w:r>
        <w:rPr>
          <w:w w:val="110"/>
          <w:position w:val="5"/>
          <w:sz w:val="11"/>
        </w:rPr>
        <w:t>7</w:t>
      </w:r>
    </w:p>
    <w:p>
      <w:pPr>
        <w:pStyle w:val="BodyText"/>
        <w:rPr>
          <w:sz w:val="20"/>
        </w:rPr>
      </w:pPr>
    </w:p>
    <w:p>
      <w:pPr>
        <w:pStyle w:val="BodyText"/>
        <w:spacing w:before="5"/>
        <w:rPr>
          <w:sz w:val="20"/>
        </w:rPr>
      </w:pPr>
    </w:p>
    <w:p>
      <w:pPr>
        <w:spacing w:line="206" w:lineRule="exact" w:before="0"/>
        <w:ind w:left="1123" w:right="0" w:firstLine="0"/>
        <w:jc w:val="both"/>
        <w:rPr>
          <w:sz w:val="16"/>
        </w:rPr>
      </w:pPr>
      <w:r>
        <w:rPr>
          <w:w w:val="110"/>
          <w:position w:val="4"/>
          <w:sz w:val="16"/>
        </w:rPr>
        <w:t>l4</w:t>
      </w:r>
      <w:r>
        <w:rPr>
          <w:w w:val="110"/>
          <w:position w:val="1"/>
          <w:sz w:val="16"/>
        </w:rPr>
        <w:t>Ac</w:t>
      </w:r>
      <w:r>
        <w:rPr>
          <w:w w:val="110"/>
          <w:sz w:val="16"/>
        </w:rPr>
        <w:t>tes </w:t>
      </w:r>
      <w:r>
        <w:rPr>
          <w:i/>
          <w:w w:val="110"/>
          <w:position w:val="2"/>
          <w:sz w:val="16"/>
        </w:rPr>
        <w:t>mid Monuments, </w:t>
      </w:r>
      <w:r>
        <w:rPr>
          <w:w w:val="110"/>
          <w:position w:val="2"/>
          <w:sz w:val="16"/>
        </w:rPr>
        <w:t>p. 1546.</w:t>
      </w:r>
    </w:p>
    <w:p>
      <w:pPr>
        <w:spacing w:line="192" w:lineRule="exact" w:before="0"/>
        <w:ind w:left="1127" w:right="0" w:firstLine="0"/>
        <w:jc w:val="both"/>
        <w:rPr>
          <w:sz w:val="16"/>
        </w:rPr>
      </w:pPr>
      <w:r>
        <w:rPr>
          <w:w w:val="110"/>
          <w:position w:val="4"/>
          <w:sz w:val="16"/>
        </w:rPr>
        <w:t>lO</w:t>
      </w:r>
      <w:r>
        <w:rPr>
          <w:w w:val="110"/>
          <w:sz w:val="16"/>
        </w:rPr>
        <w:t>Cf. </w:t>
      </w:r>
      <w:r>
        <w:rPr>
          <w:w w:val="110"/>
          <w:position w:val="2"/>
          <w:sz w:val="16"/>
        </w:rPr>
        <w:t>Gina Alexander, “Bonner and the Marian Persecutions,” History, 60 (Oc-</w:t>
      </w:r>
    </w:p>
    <w:p>
      <w:pPr>
        <w:spacing w:line="171" w:lineRule="exact" w:before="0"/>
        <w:ind w:left="938" w:right="0" w:firstLine="0"/>
        <w:jc w:val="both"/>
        <w:rPr>
          <w:sz w:val="17"/>
        </w:rPr>
      </w:pPr>
      <w:r>
        <w:rPr>
          <w:sz w:val="17"/>
        </w:rPr>
        <w:t>tober, 19Y5): 3Y4—91.</w:t>
      </w:r>
    </w:p>
    <w:p>
      <w:pPr>
        <w:spacing w:line="223" w:lineRule="auto" w:before="1"/>
        <w:ind w:left="936" w:right="174" w:firstLine="177"/>
        <w:jc w:val="both"/>
        <w:rPr>
          <w:sz w:val="17"/>
        </w:rPr>
      </w:pPr>
      <w:r>
        <w:rPr>
          <w:w w:val="105"/>
          <w:position w:val="5"/>
          <w:sz w:val="13"/>
        </w:rPr>
        <w:t>1 </w:t>
      </w:r>
      <w:r>
        <w:rPr>
          <w:w w:val="105"/>
          <w:sz w:val="17"/>
        </w:rPr>
        <w:t>*Nugne </w:t>
      </w:r>
      <w:r>
        <w:rPr>
          <w:i/>
          <w:w w:val="105"/>
          <w:sz w:val="17"/>
        </w:rPr>
        <w:t>Antiquae: Being a Miscellaneous Collection of </w:t>
      </w:r>
      <w:r>
        <w:rPr>
          <w:w w:val="105"/>
          <w:sz w:val="17"/>
        </w:rPr>
        <w:t>Original </w:t>
      </w:r>
      <w:r>
        <w:rPr>
          <w:i/>
          <w:w w:val="105"/>
          <w:sz w:val="17"/>
        </w:rPr>
        <w:t>Papers, in Prose </w:t>
      </w:r>
      <w:r>
        <w:rPr>
          <w:i/>
          <w:w w:val="105"/>
          <w:sz w:val="17"/>
        </w:rPr>
        <w:t>and Verse; W </w:t>
      </w:r>
      <w:r>
        <w:rPr>
          <w:w w:val="105"/>
          <w:sz w:val="17"/>
        </w:rPr>
        <w:t>ri</w:t>
      </w:r>
      <w:r>
        <w:rPr>
          <w:i/>
          <w:w w:val="105"/>
          <w:sz w:val="17"/>
        </w:rPr>
        <w:t>tten </w:t>
      </w:r>
      <w:r>
        <w:rPr>
          <w:w w:val="105"/>
          <w:sz w:val="17"/>
        </w:rPr>
        <w:t>During the </w:t>
      </w:r>
      <w:r>
        <w:rPr>
          <w:i/>
          <w:w w:val="105"/>
          <w:sz w:val="17"/>
        </w:rPr>
        <w:t>Reigns oJ Henry VIII, Edward VI, Queen </w:t>
      </w:r>
      <w:r>
        <w:rPr>
          <w:w w:val="105"/>
          <w:sz w:val="17"/>
        </w:rPr>
        <w:t>Mum, </w:t>
      </w:r>
      <w:r>
        <w:rPr>
          <w:i/>
          <w:w w:val="105"/>
          <w:sz w:val="17"/>
        </w:rPr>
        <w:t>Elizabeth, and </w:t>
      </w:r>
      <w:r>
        <w:rPr>
          <w:w w:val="105"/>
          <w:sz w:val="17"/>
        </w:rPr>
        <w:t>King </w:t>
      </w:r>
      <w:r>
        <w:rPr>
          <w:i/>
          <w:w w:val="105"/>
          <w:sz w:val="17"/>
        </w:rPr>
        <w:t>James, </w:t>
      </w:r>
      <w:r>
        <w:rPr>
          <w:w w:val="105"/>
          <w:sz w:val="17"/>
        </w:rPr>
        <w:t>sel. Henry Harington, ed. Thomas Park, 2 vols.  (Lon- don: J. Wright for Vernon </w:t>
      </w:r>
      <w:r>
        <w:rPr>
          <w:i/>
          <w:w w:val="105"/>
          <w:sz w:val="17"/>
        </w:rPr>
        <w:t>et al., </w:t>
      </w:r>
      <w:r>
        <w:rPr>
          <w:w w:val="105"/>
          <w:sz w:val="17"/>
        </w:rPr>
        <w:t>1804), 2:</w:t>
      </w:r>
      <w:r>
        <w:rPr>
          <w:spacing w:val="-13"/>
          <w:w w:val="105"/>
          <w:sz w:val="17"/>
        </w:rPr>
        <w:t> </w:t>
      </w:r>
      <w:r>
        <w:rPr>
          <w:w w:val="105"/>
          <w:sz w:val="17"/>
        </w:rPr>
        <w:t>34.</w:t>
      </w:r>
    </w:p>
    <w:p>
      <w:pPr>
        <w:spacing w:line="183" w:lineRule="exact" w:before="0"/>
        <w:ind w:left="1101" w:right="0" w:firstLine="0"/>
        <w:jc w:val="both"/>
        <w:rPr>
          <w:sz w:val="17"/>
        </w:rPr>
      </w:pPr>
      <w:r>
        <w:rPr>
          <w:position w:val="3"/>
          <w:sz w:val="17"/>
        </w:rPr>
        <w:t>17 </w:t>
      </w:r>
      <w:r>
        <w:rPr>
          <w:sz w:val="17"/>
        </w:rPr>
        <w:t>ctes </w:t>
      </w:r>
      <w:r>
        <w:rPr>
          <w:i/>
          <w:sz w:val="17"/>
        </w:rPr>
        <w:t>and Monuments, </w:t>
      </w:r>
      <w:r>
        <w:rPr>
          <w:sz w:val="17"/>
        </w:rPr>
        <w:t>pp. 1376—77.</w:t>
      </w:r>
    </w:p>
    <w:p>
      <w:pPr>
        <w:spacing w:after="0" w:line="183" w:lineRule="exact"/>
        <w:jc w:val="both"/>
        <w:rPr>
          <w:sz w:val="17"/>
        </w:rPr>
        <w:sectPr>
          <w:pgSz w:w="8370" w:h="13120"/>
          <w:pgMar w:top="980" w:bottom="280" w:left="480" w:right="560"/>
        </w:sectPr>
      </w:pPr>
    </w:p>
    <w:p>
      <w:pPr>
        <w:tabs>
          <w:tab w:pos="2122" w:val="left" w:leader="none"/>
        </w:tabs>
        <w:spacing w:before="73"/>
        <w:ind w:left="155" w:right="0" w:firstLine="0"/>
        <w:jc w:val="left"/>
        <w:rPr>
          <w:b/>
          <w:sz w:val="19"/>
        </w:rPr>
      </w:pPr>
      <w:r>
        <w:rPr>
          <w:sz w:val="19"/>
        </w:rPr>
        <w:t>16</w:t>
        <w:tab/>
      </w:r>
      <w:r>
        <w:rPr>
          <w:b/>
          <w:sz w:val="19"/>
        </w:rPr>
        <w:t>HISTORICAL</w:t>
      </w:r>
      <w:r>
        <w:rPr>
          <w:b/>
          <w:spacing w:val="31"/>
          <w:sz w:val="19"/>
        </w:rPr>
        <w:t> </w:t>
      </w:r>
      <w:r>
        <w:rPr>
          <w:b/>
          <w:sz w:val="19"/>
        </w:rPr>
        <w:t>MAGAZINE</w:t>
      </w:r>
    </w:p>
    <w:p>
      <w:pPr>
        <w:pStyle w:val="BodyText"/>
        <w:spacing w:before="3"/>
        <w:rPr>
          <w:b/>
          <w:sz w:val="12"/>
        </w:rPr>
      </w:pPr>
      <w:r>
        <w:rPr/>
        <w:drawing>
          <wp:anchor distT="0" distB="0" distL="0" distR="0" allowOverlap="1" layoutInCell="1" locked="0" behindDoc="0" simplePos="0" relativeHeight="7">
            <wp:simplePos x="0" y="0"/>
            <wp:positionH relativeFrom="page">
              <wp:posOffset>374886</wp:posOffset>
            </wp:positionH>
            <wp:positionV relativeFrom="paragraph">
              <wp:posOffset>114601</wp:posOffset>
            </wp:positionV>
            <wp:extent cx="4038529" cy="3005328"/>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4038529" cy="3005328"/>
                    </a:xfrm>
                    <a:prstGeom prst="rect">
                      <a:avLst/>
                    </a:prstGeom>
                  </pic:spPr>
                </pic:pic>
              </a:graphicData>
            </a:graphic>
          </wp:anchor>
        </w:drawing>
      </w:r>
    </w:p>
    <w:p>
      <w:pPr>
        <w:pStyle w:val="Heading2"/>
        <w:spacing w:before="72"/>
        <w:ind w:left="2121" w:right="2908"/>
        <w:jc w:val="center"/>
      </w:pPr>
      <w:r>
        <w:rPr/>
        <w:t>Plate 7</w:t>
      </w:r>
    </w:p>
    <w:p>
      <w:pPr>
        <w:pStyle w:val="BodyText"/>
        <w:spacing w:before="3"/>
        <w:rPr>
          <w:sz w:val="22"/>
        </w:rPr>
      </w:pPr>
    </w:p>
    <w:p>
      <w:pPr>
        <w:spacing w:line="247" w:lineRule="auto" w:before="0"/>
        <w:ind w:left="137" w:right="978" w:firstLine="212"/>
        <w:jc w:val="left"/>
        <w:rPr>
          <w:sz w:val="19"/>
        </w:rPr>
      </w:pPr>
      <w:r>
        <w:rPr>
          <w:w w:val="105"/>
          <w:sz w:val="19"/>
        </w:rPr>
        <w:t>It was just as the fagots were lit that Latimer, breaking through the  ten- sion of the moment, uttered his memorable words to his companion: “Be of good comfort M. Ridley and play the man: we shall this day lyght such a candle by Cods grace in England, as (I </w:t>
      </w:r>
      <w:r>
        <w:rPr>
          <w:b/>
          <w:w w:val="105"/>
          <w:sz w:val="19"/>
        </w:rPr>
        <w:t>trust)  </w:t>
      </w:r>
      <w:r>
        <w:rPr>
          <w:w w:val="105"/>
          <w:sz w:val="19"/>
        </w:rPr>
        <w:t>shall  never  be  </w:t>
      </w:r>
      <w:r>
        <w:rPr>
          <w:b/>
          <w:w w:val="105"/>
          <w:sz w:val="19"/>
        </w:rPr>
        <w:t>put  </w:t>
      </w:r>
      <w:r>
        <w:rPr>
          <w:w w:val="105"/>
          <w:sz w:val="19"/>
        </w:rPr>
        <w:t>out.”' Aged and frail, Latimer died very soon thereafter. But the fire was badly managed on the other side, and Ridley sufiered through a long and  ex- tremely painful ordeal.</w:t>
      </w:r>
    </w:p>
    <w:p>
      <w:pPr>
        <w:spacing w:line="247" w:lineRule="auto" w:before="0"/>
        <w:ind w:left="146" w:right="948" w:firstLine="193"/>
        <w:jc w:val="both"/>
        <w:rPr>
          <w:sz w:val="19"/>
        </w:rPr>
      </w:pPr>
      <w:r>
        <w:rPr>
          <w:w w:val="105"/>
          <w:sz w:val="19"/>
        </w:rPr>
        <w:t>The burning of Cranmer was an event of special interest and importance, both because he had been Archbishop of Canterbury, and because of his much-publicized recantations. Since he had refused to recognize the juris- diction of the court which had tried the other two, his case had been  re- ferred directly to Rome. Pope Paul lV in turn had authorized an inquiry by three English clerics, on the basis of whose findings Cranmer had been con- demned, deprived of his archbishopric, and excommunicated. In February, </w:t>
      </w:r>
      <w:r>
        <w:rPr>
          <w:b/>
          <w:w w:val="105"/>
          <w:sz w:val="19"/>
        </w:rPr>
        <w:t>1556 </w:t>
      </w:r>
      <w:r>
        <w:rPr>
          <w:w w:val="105"/>
          <w:sz w:val="19"/>
        </w:rPr>
        <w:t>he had been formally degraded by a special papal commission and turned over to the secular authorities for</w:t>
      </w:r>
      <w:r>
        <w:rPr>
          <w:spacing w:val="6"/>
          <w:w w:val="105"/>
          <w:sz w:val="19"/>
        </w:rPr>
        <w:t> </w:t>
      </w:r>
      <w:r>
        <w:rPr>
          <w:w w:val="105"/>
          <w:sz w:val="19"/>
        </w:rPr>
        <w:t>punishment.</w:t>
      </w:r>
    </w:p>
    <w:p>
      <w:pPr>
        <w:spacing w:line="247" w:lineRule="auto" w:before="0"/>
        <w:ind w:left="139" w:right="956" w:firstLine="210"/>
        <w:jc w:val="both"/>
        <w:rPr>
          <w:sz w:val="19"/>
        </w:rPr>
      </w:pPr>
      <w:r>
        <w:rPr>
          <w:sz w:val="19"/>
        </w:rPr>
        <w:t>Induced by the prospect that his life might be spared if he recanted, and influenced by his  long-standing  commitment  to  the  principle  of  submission to the temporal power, Cranmer had been persuaded to sign six increasingly specific recantations. With these discrediting documents in  hand,  Mary  had then given the order for his execution. He was burned at the stake on</w:t>
      </w:r>
      <w:r>
        <w:rPr>
          <w:spacing w:val="24"/>
          <w:sz w:val="19"/>
        </w:rPr>
        <w:t> </w:t>
      </w:r>
      <w:r>
        <w:rPr>
          <w:sz w:val="19"/>
        </w:rPr>
        <w:t>March</w:t>
      </w:r>
    </w:p>
    <w:p>
      <w:pPr>
        <w:pStyle w:val="BodyText"/>
        <w:rPr>
          <w:sz w:val="20"/>
        </w:rPr>
      </w:pPr>
    </w:p>
    <w:p>
      <w:pPr>
        <w:pStyle w:val="BodyText"/>
        <w:spacing w:before="9"/>
        <w:rPr>
          <w:sz w:val="28"/>
        </w:rPr>
      </w:pPr>
    </w:p>
    <w:p>
      <w:pPr>
        <w:spacing w:line="189" w:lineRule="auto" w:before="1"/>
        <w:ind w:left="139" w:right="978" w:firstLine="185"/>
        <w:jc w:val="both"/>
        <w:rPr>
          <w:sz w:val="19"/>
        </w:rPr>
      </w:pPr>
      <w:r>
        <w:rPr>
          <w:w w:val="95"/>
          <w:position w:val="3"/>
          <w:sz w:val="19"/>
        </w:rPr>
        <w:t>l8</w:t>
      </w:r>
      <w:r>
        <w:rPr>
          <w:w w:val="95"/>
          <w:sz w:val="19"/>
        </w:rPr>
        <w:t>EcefesiasticnfI</w:t>
      </w:r>
      <w:r>
        <w:rPr>
          <w:spacing w:val="-12"/>
          <w:w w:val="95"/>
          <w:sz w:val="19"/>
        </w:rPr>
        <w:t> </w:t>
      </w:r>
      <w:r>
        <w:rPr>
          <w:i/>
          <w:w w:val="95"/>
          <w:sz w:val="19"/>
        </w:rPr>
        <w:t>H’</w:t>
      </w:r>
      <w:r>
        <w:rPr>
          <w:i/>
          <w:spacing w:val="-32"/>
          <w:w w:val="95"/>
          <w:sz w:val="19"/>
        </w:rPr>
        <w:t> </w:t>
      </w:r>
      <w:r>
        <w:rPr>
          <w:i/>
          <w:w w:val="95"/>
          <w:sz w:val="19"/>
        </w:rPr>
        <w:t>i:tong,</w:t>
      </w:r>
      <w:r>
        <w:rPr>
          <w:i/>
          <w:spacing w:val="-19"/>
          <w:w w:val="95"/>
          <w:sz w:val="19"/>
        </w:rPr>
        <w:t> </w:t>
      </w:r>
      <w:r>
        <w:rPr>
          <w:i/>
          <w:w w:val="95"/>
          <w:sz w:val="19"/>
        </w:rPr>
        <w:t>G</w:t>
      </w:r>
      <w:r>
        <w:rPr>
          <w:i/>
          <w:spacing w:val="-36"/>
          <w:w w:val="95"/>
          <w:sz w:val="19"/>
        </w:rPr>
        <w:t> </w:t>
      </w:r>
      <w:r>
        <w:rPr>
          <w:b/>
          <w:i/>
          <w:w w:val="95"/>
          <w:sz w:val="19"/>
        </w:rPr>
        <w:t>ontayning</w:t>
      </w:r>
      <w:r>
        <w:rPr>
          <w:b/>
          <w:i/>
          <w:spacing w:val="-9"/>
          <w:w w:val="95"/>
          <w:sz w:val="19"/>
        </w:rPr>
        <w:t> </w:t>
      </w:r>
      <w:r>
        <w:rPr>
          <w:b/>
          <w:i/>
          <w:w w:val="95"/>
          <w:sz w:val="19"/>
        </w:rPr>
        <w:t>the</w:t>
      </w:r>
      <w:r>
        <w:rPr>
          <w:b/>
          <w:i/>
          <w:spacing w:val="-17"/>
          <w:w w:val="95"/>
          <w:sz w:val="19"/>
        </w:rPr>
        <w:t> </w:t>
      </w:r>
      <w:r>
        <w:rPr>
          <w:b/>
          <w:i/>
          <w:w w:val="95"/>
          <w:sz w:val="19"/>
        </w:rPr>
        <w:t>Actec</w:t>
      </w:r>
      <w:r>
        <w:rPr>
          <w:b/>
          <w:i/>
          <w:spacing w:val="-17"/>
          <w:w w:val="95"/>
          <w:sz w:val="19"/>
        </w:rPr>
        <w:t> </w:t>
      </w:r>
      <w:r>
        <w:rPr>
          <w:i/>
          <w:w w:val="95"/>
          <w:sz w:val="19"/>
        </w:rPr>
        <w:t>G</w:t>
      </w:r>
      <w:r>
        <w:rPr>
          <w:i/>
          <w:spacing w:val="-6"/>
          <w:w w:val="95"/>
          <w:sz w:val="19"/>
        </w:rPr>
        <w:t> </w:t>
      </w:r>
      <w:r>
        <w:rPr>
          <w:b/>
          <w:i/>
          <w:w w:val="95"/>
          <w:sz w:val="19"/>
        </w:rPr>
        <w:t>Mon.uments,</w:t>
      </w:r>
      <w:r>
        <w:rPr>
          <w:b/>
          <w:i/>
          <w:spacing w:val="-11"/>
          <w:w w:val="95"/>
          <w:sz w:val="19"/>
        </w:rPr>
        <w:t> </w:t>
      </w:r>
      <w:r>
        <w:rPr>
          <w:b/>
          <w:w w:val="95"/>
          <w:sz w:val="19"/>
        </w:rPr>
        <w:t>2nd</w:t>
      </w:r>
      <w:r>
        <w:rPr>
          <w:b/>
          <w:spacing w:val="-17"/>
          <w:w w:val="95"/>
          <w:sz w:val="19"/>
        </w:rPr>
        <w:t> </w:t>
      </w:r>
      <w:r>
        <w:rPr>
          <w:w w:val="95"/>
          <w:sz w:val="19"/>
        </w:rPr>
        <w:t>ed.</w:t>
      </w:r>
      <w:r>
        <w:rPr>
          <w:spacing w:val="-13"/>
          <w:w w:val="95"/>
          <w:sz w:val="19"/>
        </w:rPr>
        <w:t> </w:t>
      </w:r>
      <w:r>
        <w:rPr>
          <w:w w:val="95"/>
          <w:sz w:val="19"/>
        </w:rPr>
        <w:t>(London: </w:t>
      </w:r>
      <w:r>
        <w:rPr>
          <w:sz w:val="19"/>
        </w:rPr>
        <w:t>John Day, 1570),</w:t>
      </w:r>
      <w:r>
        <w:rPr>
          <w:spacing w:val="26"/>
          <w:sz w:val="19"/>
        </w:rPr>
        <w:t> </w:t>
      </w:r>
      <w:r>
        <w:rPr>
          <w:sz w:val="19"/>
        </w:rPr>
        <w:t>p.1937.</w:t>
      </w:r>
    </w:p>
    <w:p>
      <w:pPr>
        <w:spacing w:after="0" w:line="189" w:lineRule="auto"/>
        <w:jc w:val="both"/>
        <w:rPr>
          <w:sz w:val="19"/>
        </w:rPr>
        <w:sectPr>
          <w:pgSz w:w="8370" w:h="13120"/>
          <w:pgMar w:top="940" w:bottom="280" w:left="480" w:right="560"/>
        </w:sectPr>
      </w:pPr>
    </w:p>
    <w:p>
      <w:pPr>
        <w:pStyle w:val="Heading2"/>
        <w:tabs>
          <w:tab w:pos="7183" w:val="right" w:leader="none"/>
        </w:tabs>
        <w:spacing w:before="80"/>
        <w:ind w:left="1812"/>
        <w:jc w:val="left"/>
      </w:pPr>
      <w:r>
        <w:rPr/>
        <w:t>ICONOGRAPHY OF FOXE’S BOOK</w:t>
      </w:r>
      <w:r>
        <w:rPr>
          <w:spacing w:val="22"/>
        </w:rPr>
        <w:t> </w:t>
      </w:r>
      <w:r>
        <w:rPr/>
        <w:t>OF</w:t>
      </w:r>
      <w:r>
        <w:rPr>
          <w:spacing w:val="30"/>
        </w:rPr>
        <w:t> </w:t>
      </w:r>
      <w:r>
        <w:rPr/>
        <w:t>MARTYRS</w:t>
        <w:tab/>
      </w:r>
      <w:r>
        <w:rPr>
          <w:position w:val="1"/>
        </w:rPr>
        <w:t>17</w:t>
      </w:r>
    </w:p>
    <w:p>
      <w:pPr>
        <w:pStyle w:val="BodyText"/>
        <w:spacing w:before="10"/>
        <w:rPr>
          <w:sz w:val="21"/>
        </w:rPr>
      </w:pPr>
      <w:r>
        <w:rPr/>
        <w:drawing>
          <wp:anchor distT="0" distB="0" distL="0" distR="0" allowOverlap="1" layoutInCell="1" locked="0" behindDoc="0" simplePos="0" relativeHeight="8">
            <wp:simplePos x="0" y="0"/>
            <wp:positionH relativeFrom="page">
              <wp:posOffset>941832</wp:posOffset>
            </wp:positionH>
            <wp:positionV relativeFrom="paragraph">
              <wp:posOffset>184606</wp:posOffset>
            </wp:positionV>
            <wp:extent cx="3867912" cy="2959607"/>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3867912" cy="2959607"/>
                    </a:xfrm>
                    <a:prstGeom prst="rect">
                      <a:avLst/>
                    </a:prstGeom>
                  </pic:spPr>
                </pic:pic>
              </a:graphicData>
            </a:graphic>
          </wp:anchor>
        </w:drawing>
      </w:r>
    </w:p>
    <w:p>
      <w:pPr>
        <w:spacing w:before="62"/>
        <w:ind w:left="2872" w:right="2066" w:firstLine="0"/>
        <w:jc w:val="center"/>
        <w:rPr>
          <w:sz w:val="19"/>
        </w:rPr>
      </w:pPr>
      <w:r>
        <w:rPr>
          <w:w w:val="105"/>
          <w:sz w:val="19"/>
        </w:rPr>
        <w:t>Plate 8</w:t>
      </w:r>
    </w:p>
    <w:p>
      <w:pPr>
        <w:pStyle w:val="BodyText"/>
        <w:spacing w:before="9"/>
        <w:rPr>
          <w:sz w:val="14"/>
        </w:rPr>
      </w:pPr>
    </w:p>
    <w:p>
      <w:pPr>
        <w:spacing w:line="247" w:lineRule="auto" w:before="92"/>
        <w:ind w:left="927" w:right="149" w:firstLine="7"/>
        <w:jc w:val="both"/>
        <w:rPr>
          <w:sz w:val="19"/>
        </w:rPr>
      </w:pPr>
      <w:r>
        <w:rPr>
          <w:w w:val="105"/>
          <w:sz w:val="19"/>
        </w:rPr>
        <w:t>21, </w:t>
      </w:r>
      <w:r>
        <w:rPr>
          <w:b/>
          <w:w w:val="105"/>
          <w:sz w:val="19"/>
        </w:rPr>
        <w:t>1556, </w:t>
      </w:r>
      <w:r>
        <w:rPr>
          <w:w w:val="105"/>
          <w:sz w:val="19"/>
        </w:rPr>
        <w:t>but not before publicly and dramatically repudiating his recanta- tions.</w:t>
      </w:r>
    </w:p>
    <w:p>
      <w:pPr>
        <w:spacing w:line="249" w:lineRule="auto" w:before="0"/>
        <w:ind w:left="927" w:right="140" w:firstLine="202"/>
        <w:jc w:val="both"/>
        <w:rPr>
          <w:sz w:val="19"/>
        </w:rPr>
      </w:pPr>
      <w:r>
        <w:rPr>
          <w:w w:val="105"/>
          <w:sz w:val="19"/>
        </w:rPr>
        <w:t>On the day of his execution Cranmer was led in procession from the Bo- cardo to St. Mary’s Church, where a large crowd had assembled for the final ceremony. Cranmer stood on a stage which had been erected facing the pulpit, while Dr. Henry Cole preached the sermon. When called upon to speak, Cranmer astounded the audience, which had been  led  to expect  a final recantation, by dramatically renouncing his former</w:t>
      </w:r>
      <w:r>
        <w:rPr>
          <w:spacing w:val="6"/>
          <w:w w:val="105"/>
          <w:sz w:val="19"/>
        </w:rPr>
        <w:t> </w:t>
      </w:r>
      <w:r>
        <w:rPr>
          <w:w w:val="105"/>
          <w:sz w:val="19"/>
        </w:rPr>
        <w:t>statements:</w:t>
      </w:r>
    </w:p>
    <w:p>
      <w:pPr>
        <w:spacing w:line="247" w:lineRule="auto" w:before="87"/>
        <w:ind w:left="1114" w:right="337" w:firstLine="14"/>
        <w:jc w:val="both"/>
        <w:rPr>
          <w:sz w:val="19"/>
        </w:rPr>
      </w:pPr>
      <w:r>
        <w:rPr>
          <w:w w:val="105"/>
          <w:sz w:val="19"/>
        </w:rPr>
        <w:t>And nowe I come to the great thyng that so muche troubled my con- science more than any thynge that ever I did or  sayde  in  my  whole lyfe, and that is the settyng abrode of a</w:t>
      </w:r>
      <w:r>
        <w:rPr>
          <w:spacing w:val="49"/>
          <w:w w:val="105"/>
          <w:sz w:val="19"/>
        </w:rPr>
        <w:t> </w:t>
      </w:r>
      <w:r>
        <w:rPr>
          <w:w w:val="105"/>
          <w:sz w:val="19"/>
        </w:rPr>
        <w:t>wrytinge  contrarie  to  the truthe, whiche nowe here I renounce and refuse  as  thynges  wrytten with my hande contrarye to the truthe, which I thought  in  my  harte, and written for feare of deathe, and to save  my lyfe  if  it myght  be,  and that is, all .such bylles and papers whiche I have wrytten or signed with my hande sence my degradation, wherein I have wrytten manye thynges untrue. And for as much as my hande offended, wrytyng con- trarie to my harte, my hande shal first be punyshed therfore. For</w:t>
      </w:r>
      <w:r>
        <w:rPr>
          <w:spacing w:val="19"/>
          <w:w w:val="105"/>
          <w:sz w:val="19"/>
        </w:rPr>
        <w:t> </w:t>
      </w:r>
      <w:r>
        <w:rPr>
          <w:w w:val="105"/>
          <w:sz w:val="19"/>
        </w:rPr>
        <w:t>maye</w:t>
      </w:r>
    </w:p>
    <w:p>
      <w:pPr>
        <w:spacing w:line="218" w:lineRule="auto" w:before="4"/>
        <w:ind w:left="1120" w:right="358" w:firstLine="6"/>
        <w:jc w:val="both"/>
        <w:rPr>
          <w:sz w:val="11"/>
        </w:rPr>
      </w:pPr>
      <w:r>
        <w:rPr>
          <w:sz w:val="19"/>
        </w:rPr>
        <w:t>I come to the fyre, it shalbe first burned. And as for the </w:t>
      </w:r>
      <w:r>
        <w:rPr>
          <w:position w:val="1"/>
          <w:sz w:val="19"/>
        </w:rPr>
        <w:t>Po</w:t>
      </w:r>
      <w:r>
        <w:rPr>
          <w:position w:val="-2"/>
          <w:sz w:val="19"/>
        </w:rPr>
        <w:t>r </w:t>
      </w:r>
      <w:r>
        <w:rPr>
          <w:position w:val="1"/>
          <w:sz w:val="19"/>
        </w:rPr>
        <w:t>e,  </w:t>
      </w:r>
      <w:r>
        <w:rPr>
          <w:sz w:val="19"/>
        </w:rPr>
        <w:t>I  refuse  hym as Christes enemye and Antichriste, with all his false doctrine.'</w:t>
      </w:r>
      <w:r>
        <w:rPr>
          <w:spacing w:val="3"/>
          <w:sz w:val="19"/>
        </w:rPr>
        <w:t> </w:t>
      </w:r>
      <w:r>
        <w:rPr>
          <w:position w:val="5"/>
          <w:sz w:val="11"/>
        </w:rPr>
        <w:t>®</w:t>
      </w:r>
    </w:p>
    <w:p>
      <w:pPr>
        <w:spacing w:line="244" w:lineRule="auto" w:before="92"/>
        <w:ind w:left="918" w:right="159" w:firstLine="203"/>
        <w:jc w:val="both"/>
        <w:rPr>
          <w:sz w:val="19"/>
        </w:rPr>
      </w:pPr>
      <w:r>
        <w:rPr>
          <w:w w:val="105"/>
          <w:sz w:val="19"/>
        </w:rPr>
        <w:t>In the chaos which followed, Cranmer was dragged from  the  platform  and hurried off to the stake. Foxe’s woodcut depicts the  final scene  (see plate 8). Encircling the stake are the familiar authorities, a persistent</w:t>
      </w:r>
      <w:r>
        <w:rPr>
          <w:spacing w:val="8"/>
          <w:w w:val="105"/>
          <w:sz w:val="19"/>
        </w:rPr>
        <w:t> </w:t>
      </w:r>
      <w:r>
        <w:rPr>
          <w:w w:val="105"/>
          <w:sz w:val="19"/>
        </w:rPr>
        <w:t>Span-</w:t>
      </w:r>
    </w:p>
    <w:p>
      <w:pPr>
        <w:spacing w:before="104"/>
        <w:ind w:left="1082" w:right="0" w:firstLine="0"/>
        <w:jc w:val="both"/>
        <w:rPr>
          <w:sz w:val="19"/>
        </w:rPr>
      </w:pPr>
      <w:r>
        <w:rPr>
          <w:i/>
          <w:sz w:val="19"/>
        </w:rPr>
        <w:t>'°Actes and </w:t>
      </w:r>
      <w:r>
        <w:rPr>
          <w:sz w:val="19"/>
        </w:rPr>
        <w:t>âf ontimenfs, p. lo0l.</w:t>
      </w:r>
    </w:p>
    <w:p>
      <w:pPr>
        <w:spacing w:after="0"/>
        <w:jc w:val="both"/>
        <w:rPr>
          <w:sz w:val="19"/>
        </w:rPr>
        <w:sectPr>
          <w:pgSz w:w="8360" w:h="13110"/>
          <w:pgMar w:top="880" w:bottom="280" w:left="520" w:right="540"/>
        </w:sectPr>
      </w:pPr>
    </w:p>
    <w:p>
      <w:pPr>
        <w:pStyle w:val="Heading2"/>
        <w:tabs>
          <w:tab w:pos="2111" w:val="left" w:leader="none"/>
        </w:tabs>
        <w:spacing w:before="67"/>
        <w:ind w:left="133"/>
        <w:jc w:val="left"/>
      </w:pPr>
      <w:r>
        <w:rPr>
          <w:sz w:val="20"/>
        </w:rPr>
        <w:t>18</w:t>
        <w:tab/>
      </w:r>
      <w:r>
        <w:rPr/>
        <w:t>HISTORICAL</w:t>
      </w:r>
      <w:r>
        <w:rPr>
          <w:spacing w:val="38"/>
        </w:rPr>
        <w:t> </w:t>
      </w:r>
      <w:r>
        <w:rPr/>
        <w:t>MACAZINE</w:t>
      </w:r>
    </w:p>
    <w:p>
      <w:pPr>
        <w:pStyle w:val="BodyText"/>
        <w:spacing w:before="2"/>
        <w:rPr>
          <w:sz w:val="24"/>
        </w:rPr>
      </w:pPr>
      <w:r>
        <w:rPr/>
        <w:drawing>
          <wp:anchor distT="0" distB="0" distL="0" distR="0" allowOverlap="1" layoutInCell="1" locked="0" behindDoc="0" simplePos="0" relativeHeight="9">
            <wp:simplePos x="0" y="0"/>
            <wp:positionH relativeFrom="page">
              <wp:posOffset>396240</wp:posOffset>
            </wp:positionH>
            <wp:positionV relativeFrom="paragraph">
              <wp:posOffset>201561</wp:posOffset>
            </wp:positionV>
            <wp:extent cx="3953255" cy="2950464"/>
            <wp:effectExtent l="0" t="0" r="0" b="0"/>
            <wp:wrapTopAndBottom/>
            <wp:docPr id="15" name="image9.png"/>
            <wp:cNvGraphicFramePr>
              <a:graphicFrameLocks noChangeAspect="1"/>
            </wp:cNvGraphicFramePr>
            <a:graphic>
              <a:graphicData uri="http://schemas.openxmlformats.org/drawingml/2006/picture">
                <pic:pic>
                  <pic:nvPicPr>
                    <pic:cNvPr id="16" name="image9.png"/>
                    <pic:cNvPicPr/>
                  </pic:nvPicPr>
                  <pic:blipFill>
                    <a:blip r:embed="rId13" cstate="print"/>
                    <a:stretch>
                      <a:fillRect/>
                    </a:stretch>
                  </pic:blipFill>
                  <pic:spPr>
                    <a:xfrm>
                      <a:off x="0" y="0"/>
                      <a:ext cx="3953255" cy="2950464"/>
                    </a:xfrm>
                    <a:prstGeom prst="rect">
                      <a:avLst/>
                    </a:prstGeom>
                  </pic:spPr>
                </pic:pic>
              </a:graphicData>
            </a:graphic>
          </wp:anchor>
        </w:drawing>
      </w:r>
    </w:p>
    <w:p>
      <w:pPr>
        <w:pStyle w:val="BodyText"/>
        <w:spacing w:before="23"/>
        <w:ind w:left="2131" w:right="2952"/>
        <w:jc w:val="center"/>
      </w:pPr>
      <w:r>
        <w:rPr>
          <w:w w:val="110"/>
        </w:rPr>
        <w:t>Plate</w:t>
      </w:r>
      <w:r>
        <w:rPr>
          <w:spacing w:val="4"/>
          <w:w w:val="110"/>
        </w:rPr>
        <w:t> </w:t>
      </w:r>
      <w:r>
        <w:rPr>
          <w:w w:val="110"/>
        </w:rPr>
        <w:t>S</w:t>
      </w:r>
    </w:p>
    <w:p>
      <w:pPr>
        <w:pStyle w:val="BodyText"/>
        <w:rPr>
          <w:sz w:val="20"/>
        </w:rPr>
      </w:pPr>
    </w:p>
    <w:p>
      <w:pPr>
        <w:pStyle w:val="BodyText"/>
        <w:spacing w:before="1"/>
        <w:rPr>
          <w:sz w:val="12"/>
        </w:rPr>
      </w:pPr>
      <w:r>
        <w:rPr/>
        <w:drawing>
          <wp:anchor distT="0" distB="0" distL="0" distR="0" allowOverlap="1" layoutInCell="1" locked="0" behindDoc="0" simplePos="0" relativeHeight="10">
            <wp:simplePos x="0" y="0"/>
            <wp:positionH relativeFrom="page">
              <wp:posOffset>899160</wp:posOffset>
            </wp:positionH>
            <wp:positionV relativeFrom="paragraph">
              <wp:posOffset>113180</wp:posOffset>
            </wp:positionV>
            <wp:extent cx="2962656" cy="3182112"/>
            <wp:effectExtent l="0" t="0" r="0" b="0"/>
            <wp:wrapTopAndBottom/>
            <wp:docPr id="17" name="image10.png"/>
            <wp:cNvGraphicFramePr>
              <a:graphicFrameLocks noChangeAspect="1"/>
            </wp:cNvGraphicFramePr>
            <a:graphic>
              <a:graphicData uri="http://schemas.openxmlformats.org/drawingml/2006/picture">
                <pic:pic>
                  <pic:nvPicPr>
                    <pic:cNvPr id="18" name="image10.png"/>
                    <pic:cNvPicPr/>
                  </pic:nvPicPr>
                  <pic:blipFill>
                    <a:blip r:embed="rId14" cstate="print"/>
                    <a:stretch>
                      <a:fillRect/>
                    </a:stretch>
                  </pic:blipFill>
                  <pic:spPr>
                    <a:xfrm>
                      <a:off x="0" y="0"/>
                      <a:ext cx="2962656" cy="3182112"/>
                    </a:xfrm>
                    <a:prstGeom prst="rect">
                      <a:avLst/>
                    </a:prstGeom>
                  </pic:spPr>
                </pic:pic>
              </a:graphicData>
            </a:graphic>
          </wp:anchor>
        </w:drawing>
      </w:r>
    </w:p>
    <w:p>
      <w:pPr>
        <w:pStyle w:val="BodyText"/>
        <w:spacing w:before="81"/>
        <w:ind w:left="2098" w:right="2952"/>
        <w:jc w:val="center"/>
      </w:pPr>
      <w:r>
        <w:rPr>
          <w:w w:val="115"/>
        </w:rPr>
        <w:t>Plate</w:t>
      </w:r>
      <w:r>
        <w:rPr>
          <w:spacing w:val="-12"/>
          <w:w w:val="115"/>
        </w:rPr>
        <w:t> </w:t>
      </w:r>
      <w:r>
        <w:rPr>
          <w:w w:val="115"/>
        </w:rPr>
        <w:t>10</w:t>
      </w:r>
    </w:p>
    <w:p>
      <w:pPr>
        <w:spacing w:after="0"/>
        <w:jc w:val="center"/>
        <w:sectPr>
          <w:pgSz w:w="8360" w:h="13110"/>
          <w:pgMar w:top="860" w:bottom="280" w:left="520" w:right="540"/>
        </w:sectPr>
      </w:pPr>
    </w:p>
    <w:p>
      <w:pPr>
        <w:tabs>
          <w:tab w:pos="7218" w:val="right" w:leader="none"/>
        </w:tabs>
        <w:spacing w:before="68"/>
        <w:ind w:left="1851" w:right="0" w:firstLine="0"/>
        <w:jc w:val="left"/>
        <w:rPr>
          <w:sz w:val="19"/>
        </w:rPr>
      </w:pPr>
      <w:r>
        <w:rPr>
          <w:sz w:val="19"/>
        </w:rPr>
        <w:t>ICONOGRAPHY OF FOXE’S </w:t>
      </w:r>
      <w:r>
        <w:rPr>
          <w:b/>
          <w:sz w:val="19"/>
        </w:rPr>
        <w:t>BOOK</w:t>
      </w:r>
      <w:r>
        <w:rPr>
          <w:b/>
          <w:spacing w:val="30"/>
          <w:sz w:val="19"/>
        </w:rPr>
        <w:t> </w:t>
      </w:r>
      <w:r>
        <w:rPr>
          <w:b/>
          <w:sz w:val="19"/>
        </w:rPr>
        <w:t>OF</w:t>
      </w:r>
      <w:r>
        <w:rPr>
          <w:b/>
          <w:spacing w:val="28"/>
          <w:sz w:val="19"/>
        </w:rPr>
        <w:t> </w:t>
      </w:r>
      <w:r>
        <w:rPr>
          <w:b/>
          <w:sz w:val="19"/>
        </w:rPr>
        <w:t>MARTYRS</w:t>
        <w:tab/>
      </w:r>
      <w:r>
        <w:rPr>
          <w:sz w:val="19"/>
        </w:rPr>
        <w:t>19</w:t>
      </w:r>
    </w:p>
    <w:p>
      <w:pPr>
        <w:pStyle w:val="BodyText"/>
        <w:spacing w:before="3"/>
        <w:rPr>
          <w:sz w:val="14"/>
        </w:rPr>
      </w:pPr>
      <w:r>
        <w:rPr/>
        <w:drawing>
          <wp:anchor distT="0" distB="0" distL="0" distR="0" allowOverlap="1" layoutInCell="1" locked="0" behindDoc="0" simplePos="0" relativeHeight="11">
            <wp:simplePos x="0" y="0"/>
            <wp:positionH relativeFrom="page">
              <wp:posOffset>993600</wp:posOffset>
            </wp:positionH>
            <wp:positionV relativeFrom="paragraph">
              <wp:posOffset>129460</wp:posOffset>
            </wp:positionV>
            <wp:extent cx="3855653" cy="2993136"/>
            <wp:effectExtent l="0" t="0" r="0" b="0"/>
            <wp:wrapTopAndBottom/>
            <wp:docPr id="19" name="image11.png"/>
            <wp:cNvGraphicFramePr>
              <a:graphicFrameLocks noChangeAspect="1"/>
            </wp:cNvGraphicFramePr>
            <a:graphic>
              <a:graphicData uri="http://schemas.openxmlformats.org/drawingml/2006/picture">
                <pic:pic>
                  <pic:nvPicPr>
                    <pic:cNvPr id="20" name="image11.png"/>
                    <pic:cNvPicPr/>
                  </pic:nvPicPr>
                  <pic:blipFill>
                    <a:blip r:embed="rId15" cstate="print"/>
                    <a:stretch>
                      <a:fillRect/>
                    </a:stretch>
                  </pic:blipFill>
                  <pic:spPr>
                    <a:xfrm>
                      <a:off x="0" y="0"/>
                      <a:ext cx="3855653" cy="2993136"/>
                    </a:xfrm>
                    <a:prstGeom prst="rect">
                      <a:avLst/>
                    </a:prstGeom>
                  </pic:spPr>
                </pic:pic>
              </a:graphicData>
            </a:graphic>
          </wp:anchor>
        </w:drawing>
      </w:r>
    </w:p>
    <w:p>
      <w:pPr>
        <w:pStyle w:val="Heading2"/>
        <w:spacing w:before="96"/>
        <w:ind w:left="2990" w:right="2165"/>
        <w:jc w:val="center"/>
      </w:pPr>
      <w:r>
        <w:rPr>
          <w:w w:val="105"/>
        </w:rPr>
        <w:t>Plate 11</w:t>
      </w:r>
    </w:p>
    <w:p>
      <w:pPr>
        <w:pStyle w:val="BodyText"/>
        <w:spacing w:before="10"/>
        <w:rPr>
          <w:sz w:val="13"/>
        </w:rPr>
      </w:pPr>
    </w:p>
    <w:p>
      <w:pPr>
        <w:spacing w:line="249" w:lineRule="auto" w:before="92"/>
        <w:ind w:left="968" w:right="141" w:firstLine="3"/>
        <w:jc w:val="both"/>
        <w:rPr>
          <w:sz w:val="19"/>
        </w:rPr>
      </w:pPr>
      <w:r>
        <w:rPr>
          <w:w w:val="105"/>
          <w:sz w:val="19"/>
        </w:rPr>
        <w:t>ish friar, and the throng of onlookers. The eye is inevitably drawn toward Cranmer’s dramatic gesture, as he makes good on his promise. Foxe’s de- scription of the scene is simple and straightforward, but in its own manner rises to the height of the occasion:</w:t>
      </w:r>
    </w:p>
    <w:p>
      <w:pPr>
        <w:spacing w:line="247" w:lineRule="auto" w:before="123"/>
        <w:ind w:left="1160" w:right="343" w:firstLine="3"/>
        <w:jc w:val="both"/>
        <w:rPr>
          <w:sz w:val="19"/>
        </w:rPr>
      </w:pPr>
      <w:r>
        <w:rPr>
          <w:w w:val="105"/>
          <w:sz w:val="19"/>
        </w:rPr>
        <w:t>And when the wodde was kindled, &amp; the fyre began to bum nere him, stretching out his arme, he put his right hand in the flame,  which he held so stedfast and immovable (saving that once with  the same  hand he wyped his face) that all men might see his hand burned before his body was</w:t>
      </w:r>
      <w:r>
        <w:rPr>
          <w:spacing w:val="10"/>
          <w:w w:val="105"/>
          <w:sz w:val="19"/>
        </w:rPr>
        <w:t> </w:t>
      </w:r>
      <w:r>
        <w:rPr>
          <w:w w:val="105"/>
          <w:sz w:val="19"/>
        </w:rPr>
        <w:t>touched.°°</w:t>
      </w:r>
    </w:p>
    <w:p>
      <w:pPr>
        <w:spacing w:line="247" w:lineRule="auto" w:before="123"/>
        <w:ind w:left="953" w:right="145" w:firstLine="203"/>
        <w:jc w:val="both"/>
        <w:rPr>
          <w:sz w:val="19"/>
        </w:rPr>
      </w:pPr>
      <w:r>
        <w:rPr>
          <w:w w:val="105"/>
          <w:sz w:val="19"/>
        </w:rPr>
        <w:t>Possibly the most sensational of the woodcuts was that  which  depicted the burning of the so-called Guernsey martyrs (see plate 9). According to Foxe’s account, which was included in the first edition but expanded in the second, Perotine Massey, her two daughters, and an  infant  to  which she gave birth in the flames at the stake, were burned by the Catholic authorities of Guernsey in </w:t>
      </w:r>
      <w:r>
        <w:rPr>
          <w:b/>
          <w:w w:val="105"/>
          <w:sz w:val="19"/>
        </w:rPr>
        <w:t>1556. </w:t>
      </w:r>
      <w:r>
        <w:rPr>
          <w:w w:val="105"/>
          <w:sz w:val="19"/>
        </w:rPr>
        <w:t>Having been rescued  initially,  the baby  apparently was ordered cast back into the flames by  the  provost and the bailiff.  “And so the infant,” Foxe concludes, “Baptized in his owne bloud, to fil1 up the number of Gods innocent Saintes, was both borne and dyed a Martyr, leav- ing behind it to the world, which it never saw, a spectacle wherein the whole world may see the Herodian crueltie of this graceles generation of Catholicke tormentors.”°' Foxe’s words and the visual image collaborate in this</w:t>
      </w:r>
      <w:r>
        <w:rPr>
          <w:spacing w:val="-10"/>
          <w:w w:val="105"/>
          <w:sz w:val="19"/>
        </w:rPr>
        <w:t> </w:t>
      </w:r>
      <w:r>
        <w:rPr>
          <w:w w:val="105"/>
          <w:sz w:val="19"/>
        </w:rPr>
        <w:t>highly</w:t>
      </w:r>
    </w:p>
    <w:p>
      <w:pPr>
        <w:spacing w:line="203" w:lineRule="exact" w:before="107"/>
        <w:ind w:left="1093" w:right="0" w:firstLine="0"/>
        <w:jc w:val="both"/>
        <w:rPr>
          <w:sz w:val="19"/>
        </w:rPr>
      </w:pPr>
      <w:r>
        <w:rPr>
          <w:i/>
          <w:sz w:val="19"/>
        </w:rPr>
        <w:t>’!*Ibid., </w:t>
      </w:r>
      <w:r>
        <w:rPr>
          <w:sz w:val="19"/>
        </w:rPr>
        <w:t>p. 1502.</w:t>
      </w:r>
    </w:p>
    <w:p>
      <w:pPr>
        <w:spacing w:line="203" w:lineRule="exact" w:before="0"/>
        <w:ind w:left="1111" w:right="0" w:firstLine="0"/>
        <w:jc w:val="both"/>
        <w:rPr>
          <w:sz w:val="19"/>
        </w:rPr>
      </w:pPr>
      <w:r>
        <w:rPr>
          <w:i/>
          <w:sz w:val="19"/>
        </w:rPr>
        <w:t>°*Eccelesiasticall Histo</w:t>
      </w:r>
      <w:r>
        <w:rPr>
          <w:sz w:val="19"/>
        </w:rPr>
        <w:t>ry </w:t>
      </w:r>
      <w:r>
        <w:rPr>
          <w:i/>
          <w:sz w:val="19"/>
        </w:rPr>
        <w:t>, </w:t>
      </w:r>
      <w:r>
        <w:rPr>
          <w:sz w:val="19"/>
        </w:rPr>
        <w:t>pp. 212&amp;-29.</w:t>
      </w:r>
    </w:p>
    <w:p>
      <w:pPr>
        <w:spacing w:after="0" w:line="203" w:lineRule="exact"/>
        <w:jc w:val="both"/>
        <w:rPr>
          <w:sz w:val="19"/>
        </w:rPr>
        <w:sectPr>
          <w:pgSz w:w="8370" w:h="13120"/>
          <w:pgMar w:top="960" w:bottom="280" w:left="520" w:right="520"/>
        </w:sectPr>
      </w:pPr>
    </w:p>
    <w:p>
      <w:pPr>
        <w:pStyle w:val="BodyText"/>
        <w:tabs>
          <w:tab w:pos="2076" w:val="left" w:leader="none"/>
        </w:tabs>
        <w:spacing w:before="79"/>
        <w:ind w:left="110"/>
      </w:pPr>
      <w:r>
        <w:rPr>
          <w:rFonts w:ascii="Courier New"/>
          <w:sz w:val="21"/>
        </w:rPr>
        <w:t>20</w:t>
        <w:tab/>
      </w:r>
      <w:r>
        <w:rPr>
          <w:position w:val="1"/>
        </w:rPr>
        <w:t>HISTORICAL MACAZINE</w:t>
      </w:r>
    </w:p>
    <w:p>
      <w:pPr>
        <w:pStyle w:val="Heading2"/>
        <w:spacing w:line="269" w:lineRule="exact" w:before="208"/>
        <w:ind w:left="133"/>
      </w:pPr>
      <w:r>
        <w:rPr/>
        <w:t>controversial scene as nowhere else in the book to </w:t>
      </w:r>
      <w:r>
        <w:rPr>
          <w:position w:val="-3"/>
        </w:rPr>
        <w:t>r </w:t>
      </w:r>
      <w:r>
        <w:rPr>
          <w:position w:val="1"/>
        </w:rPr>
        <w:t>roduce </w:t>
      </w:r>
      <w:r>
        <w:rPr/>
        <w:t>an i </w:t>
      </w:r>
      <w:r>
        <w:rPr>
          <w:position w:val="-2"/>
        </w:rPr>
        <w:t>'r </w:t>
      </w:r>
      <w:r>
        <w:rPr>
          <w:position w:val="2"/>
        </w:rPr>
        <w:t>act </w:t>
      </w:r>
      <w:r>
        <w:rPr/>
        <w:t>of un-</w:t>
      </w:r>
    </w:p>
    <w:p>
      <w:pPr>
        <w:pStyle w:val="BodyText"/>
        <w:spacing w:line="224" w:lineRule="exact"/>
        <w:ind w:left="127"/>
        <w:jc w:val="both"/>
      </w:pPr>
      <w:r>
        <w:rPr>
          <w:w w:val="110"/>
        </w:rPr>
        <w:t>sur</w:t>
      </w:r>
      <w:r>
        <w:rPr>
          <w:w w:val="110"/>
          <w:position w:val="-3"/>
        </w:rPr>
        <w:t>r </w:t>
      </w:r>
      <w:r>
        <w:rPr>
          <w:w w:val="110"/>
        </w:rPr>
        <w:t>assed emotional intensity.</w:t>
      </w:r>
    </w:p>
    <w:p>
      <w:pPr>
        <w:pStyle w:val="BodyText"/>
        <w:spacing w:line="193" w:lineRule="exact"/>
        <w:ind w:left="334"/>
        <w:jc w:val="both"/>
      </w:pPr>
      <w:r>
        <w:rPr>
          <w:w w:val="105"/>
        </w:rPr>
        <w:t>Among  the  illustrations  which  Foxe  introduced  in  subsequent  editions </w:t>
      </w:r>
      <w:r>
        <w:rPr>
          <w:spacing w:val="12"/>
          <w:w w:val="105"/>
        </w:rPr>
        <w:t> </w:t>
      </w:r>
      <w:r>
        <w:rPr>
          <w:w w:val="105"/>
        </w:rPr>
        <w:t>of</w:t>
      </w:r>
    </w:p>
    <w:p>
      <w:pPr>
        <w:spacing w:line="226" w:lineRule="exact" w:before="3"/>
        <w:ind w:left="131" w:right="984" w:firstLine="7"/>
        <w:jc w:val="both"/>
        <w:rPr>
          <w:sz w:val="19"/>
        </w:rPr>
      </w:pPr>
      <w:r>
        <w:rPr>
          <w:w w:val="105"/>
          <w:sz w:val="18"/>
        </w:rPr>
        <w:t>the book  were  several  which  focused  on  the  broader  issues  of  Reformation </w:t>
      </w:r>
      <w:r>
        <w:rPr>
          <w:w w:val="105"/>
          <w:position w:val="-3"/>
          <w:sz w:val="18"/>
        </w:rPr>
        <w:t>r </w:t>
      </w:r>
      <w:r>
        <w:rPr>
          <w:w w:val="105"/>
          <w:sz w:val="18"/>
        </w:rPr>
        <w:t>olemics. One of the most striking of these shows Henry VIII seated on his </w:t>
      </w:r>
      <w:r>
        <w:rPr>
          <w:w w:val="105"/>
          <w:sz w:val="19"/>
        </w:rPr>
        <w:t>throne, sword in hand, with  </w:t>
      </w:r>
      <w:r>
        <w:rPr>
          <w:w w:val="105"/>
          <w:position w:val="1"/>
          <w:sz w:val="19"/>
        </w:rPr>
        <w:t>Po</w:t>
      </w:r>
      <w:r>
        <w:rPr>
          <w:w w:val="105"/>
          <w:position w:val="-3"/>
          <w:sz w:val="19"/>
        </w:rPr>
        <w:t>r </w:t>
      </w:r>
      <w:r>
        <w:rPr>
          <w:w w:val="105"/>
          <w:position w:val="1"/>
          <w:sz w:val="19"/>
        </w:rPr>
        <w:t>e </w:t>
      </w:r>
      <w:r>
        <w:rPr>
          <w:w w:val="105"/>
          <w:sz w:val="19"/>
        </w:rPr>
        <w:t>Clement VII </w:t>
      </w:r>
      <w:r>
        <w:rPr>
          <w:w w:val="105"/>
          <w:position w:val="-3"/>
          <w:sz w:val="19"/>
        </w:rPr>
        <w:t>r </w:t>
      </w:r>
      <w:r>
        <w:rPr>
          <w:spacing w:val="2"/>
          <w:w w:val="105"/>
          <w:sz w:val="19"/>
        </w:rPr>
        <w:t>inned </w:t>
      </w:r>
      <w:r>
        <w:rPr>
          <w:w w:val="105"/>
          <w:sz w:val="19"/>
        </w:rPr>
        <w:t>beneath  his feet </w:t>
      </w:r>
      <w:r>
        <w:rPr>
          <w:spacing w:val="11"/>
          <w:w w:val="105"/>
          <w:sz w:val="19"/>
        </w:rPr>
        <w:t> </w:t>
      </w:r>
      <w:r>
        <w:rPr>
          <w:w w:val="105"/>
          <w:sz w:val="19"/>
        </w:rPr>
        <w:t>(see</w:t>
      </w:r>
    </w:p>
    <w:p>
      <w:pPr>
        <w:spacing w:line="208" w:lineRule="auto" w:before="6"/>
        <w:ind w:left="119" w:right="987" w:firstLine="8"/>
        <w:jc w:val="both"/>
        <w:rPr>
          <w:sz w:val="19"/>
        </w:rPr>
      </w:pPr>
      <w:r>
        <w:rPr>
          <w:w w:val="105"/>
          <w:position w:val="-2"/>
          <w:sz w:val="19"/>
        </w:rPr>
        <w:t>r </w:t>
      </w:r>
      <w:r>
        <w:rPr>
          <w:w w:val="105"/>
          <w:position w:val="2"/>
          <w:sz w:val="19"/>
        </w:rPr>
        <w:t>la </w:t>
      </w:r>
      <w:r>
        <w:rPr>
          <w:w w:val="105"/>
          <w:sz w:val="19"/>
        </w:rPr>
        <w:t>te 10). Cranmer is </w:t>
      </w:r>
      <w:r>
        <w:rPr>
          <w:w w:val="105"/>
          <w:position w:val="-4"/>
          <w:sz w:val="19"/>
        </w:rPr>
        <w:t>r </w:t>
      </w:r>
      <w:r>
        <w:rPr>
          <w:w w:val="105"/>
          <w:sz w:val="19"/>
        </w:rPr>
        <w:t>resenting the English Bible to the king while Thomas </w:t>
      </w:r>
      <w:r>
        <w:rPr>
          <w:w w:val="105"/>
          <w:sz w:val="18"/>
        </w:rPr>
        <w:t>Cromwell stands near by. Cardinal Pole and Bisho </w:t>
      </w:r>
      <w:r>
        <w:rPr>
          <w:w w:val="105"/>
          <w:position w:val="-3"/>
          <w:sz w:val="18"/>
        </w:rPr>
        <w:t>r </w:t>
      </w:r>
      <w:r>
        <w:rPr>
          <w:w w:val="105"/>
          <w:position w:val="-4"/>
          <w:sz w:val="18"/>
        </w:rPr>
        <w:t>J </w:t>
      </w:r>
      <w:r>
        <w:rPr>
          <w:w w:val="105"/>
          <w:sz w:val="18"/>
        </w:rPr>
        <w:t>hn Fisher frantically intercede for the fallen </w:t>
      </w:r>
      <w:r>
        <w:rPr>
          <w:w w:val="105"/>
          <w:position w:val="-3"/>
          <w:sz w:val="18"/>
        </w:rPr>
        <w:t>r </w:t>
      </w:r>
      <w:r>
        <w:rPr>
          <w:w w:val="105"/>
          <w:position w:val="1"/>
          <w:sz w:val="18"/>
        </w:rPr>
        <w:t>ontiff, </w:t>
      </w:r>
      <w:r>
        <w:rPr>
          <w:w w:val="105"/>
          <w:sz w:val="18"/>
        </w:rPr>
        <w:t>whose crown lies dashed on  the floor  by  his </w:t>
      </w:r>
      <w:r>
        <w:rPr>
          <w:w w:val="105"/>
          <w:sz w:val="19"/>
        </w:rPr>
        <w:t>side.</w:t>
      </w:r>
    </w:p>
    <w:p>
      <w:pPr>
        <w:spacing w:line="208" w:lineRule="auto" w:before="30"/>
        <w:ind w:left="123" w:right="989" w:firstLine="203"/>
        <w:jc w:val="both"/>
        <w:rPr>
          <w:sz w:val="18"/>
        </w:rPr>
      </w:pPr>
      <w:r>
        <w:rPr>
          <w:w w:val="105"/>
          <w:sz w:val="18"/>
        </w:rPr>
        <w:t>Another noteworthy addition focussed on the</w:t>
      </w:r>
      <w:r>
        <w:rPr>
          <w:spacing w:val="47"/>
          <w:w w:val="105"/>
          <w:sz w:val="18"/>
        </w:rPr>
        <w:t> </w:t>
      </w:r>
      <w:r>
        <w:rPr>
          <w:w w:val="105"/>
          <w:sz w:val="18"/>
        </w:rPr>
        <w:t>theme  of  Justice  and  the </w:t>
      </w:r>
      <w:r>
        <w:rPr>
          <w:w w:val="105"/>
          <w:sz w:val="19"/>
        </w:rPr>
        <w:t>Word of Cod (see </w:t>
      </w:r>
      <w:r>
        <w:rPr>
          <w:w w:val="105"/>
          <w:position w:val="-3"/>
          <w:sz w:val="19"/>
        </w:rPr>
        <w:t>r </w:t>
      </w:r>
      <w:r>
        <w:rPr>
          <w:spacing w:val="4"/>
          <w:w w:val="105"/>
          <w:position w:val="2"/>
          <w:sz w:val="19"/>
        </w:rPr>
        <w:t>l</w:t>
      </w:r>
      <w:r>
        <w:rPr>
          <w:spacing w:val="4"/>
          <w:w w:val="105"/>
          <w:sz w:val="19"/>
        </w:rPr>
        <w:t>a</w:t>
      </w:r>
      <w:r>
        <w:rPr>
          <w:spacing w:val="4"/>
          <w:w w:val="105"/>
          <w:position w:val="1"/>
          <w:sz w:val="19"/>
        </w:rPr>
        <w:t>te </w:t>
      </w:r>
      <w:r>
        <w:rPr>
          <w:w w:val="105"/>
          <w:sz w:val="19"/>
        </w:rPr>
        <w:t>11). The blindfolded Justice is shown holding her </w:t>
      </w:r>
      <w:r>
        <w:rPr>
          <w:w w:val="105"/>
          <w:sz w:val="18"/>
        </w:rPr>
        <w:t>scales, a sword in her right hand. The Bible in the </w:t>
      </w:r>
      <w:r>
        <w:rPr>
          <w:w w:val="105"/>
          <w:position w:val="-3"/>
          <w:sz w:val="18"/>
        </w:rPr>
        <w:t>r </w:t>
      </w:r>
      <w:r>
        <w:rPr>
          <w:w w:val="105"/>
          <w:position w:val="2"/>
          <w:sz w:val="18"/>
        </w:rPr>
        <w:t>an </w:t>
      </w:r>
      <w:r>
        <w:rPr>
          <w:w w:val="105"/>
          <w:sz w:val="18"/>
        </w:rPr>
        <w:t>to the left handily </w:t>
      </w:r>
      <w:r>
        <w:rPr>
          <w:w w:val="105"/>
          <w:sz w:val="19"/>
        </w:rPr>
        <w:t>outweighs the assortment of </w:t>
      </w:r>
      <w:r>
        <w:rPr>
          <w:w w:val="105"/>
          <w:position w:val="-2"/>
          <w:sz w:val="19"/>
        </w:rPr>
        <w:t>r </w:t>
      </w:r>
      <w:r>
        <w:rPr>
          <w:spacing w:val="3"/>
          <w:w w:val="105"/>
          <w:position w:val="2"/>
          <w:sz w:val="19"/>
        </w:rPr>
        <w:t>a</w:t>
      </w:r>
      <w:r>
        <w:rPr>
          <w:spacing w:val="3"/>
          <w:w w:val="105"/>
          <w:position w:val="-2"/>
          <w:sz w:val="19"/>
        </w:rPr>
        <w:t>r </w:t>
      </w:r>
      <w:r>
        <w:rPr>
          <w:w w:val="105"/>
          <w:position w:val="2"/>
          <w:sz w:val="19"/>
        </w:rPr>
        <w:t>al tru </w:t>
      </w:r>
      <w:r>
        <w:rPr>
          <w:w w:val="105"/>
          <w:position w:val="-2"/>
          <w:sz w:val="19"/>
        </w:rPr>
        <w:t>'• r </w:t>
      </w:r>
      <w:r>
        <w:rPr>
          <w:w w:val="105"/>
          <w:position w:val="2"/>
          <w:sz w:val="19"/>
        </w:rPr>
        <w:t>ery </w:t>
      </w:r>
      <w:r>
        <w:rPr>
          <w:w w:val="105"/>
          <w:position w:val="1"/>
          <w:sz w:val="19"/>
        </w:rPr>
        <w:t>hea</w:t>
      </w:r>
      <w:r>
        <w:rPr>
          <w:w w:val="105"/>
          <w:position w:val="-3"/>
          <w:sz w:val="19"/>
        </w:rPr>
        <w:t>r </w:t>
      </w:r>
      <w:r>
        <w:rPr>
          <w:w w:val="105"/>
          <w:position w:val="1"/>
          <w:sz w:val="19"/>
        </w:rPr>
        <w:t>ed </w:t>
      </w:r>
      <w:r>
        <w:rPr>
          <w:w w:val="105"/>
          <w:sz w:val="19"/>
        </w:rPr>
        <w:t>high in the </w:t>
      </w:r>
      <w:r>
        <w:rPr>
          <w:w w:val="105"/>
          <w:position w:val="-3"/>
          <w:sz w:val="19"/>
        </w:rPr>
        <w:t>r </w:t>
      </w:r>
      <w:r>
        <w:rPr>
          <w:w w:val="105"/>
          <w:position w:val="2"/>
          <w:sz w:val="19"/>
        </w:rPr>
        <w:t>an </w:t>
      </w:r>
      <w:r>
        <w:rPr>
          <w:w w:val="105"/>
          <w:sz w:val="19"/>
        </w:rPr>
        <w:t>to the </w:t>
      </w:r>
      <w:r>
        <w:rPr>
          <w:w w:val="105"/>
          <w:sz w:val="18"/>
        </w:rPr>
        <w:t>right. The sober but confident Protestants look on from the</w:t>
      </w:r>
      <w:r>
        <w:rPr>
          <w:spacing w:val="10"/>
          <w:w w:val="105"/>
          <w:sz w:val="18"/>
        </w:rPr>
        <w:t> </w:t>
      </w:r>
      <w:r>
        <w:rPr>
          <w:w w:val="105"/>
          <w:sz w:val="18"/>
        </w:rPr>
        <w:t>left, while the</w:t>
      </w:r>
    </w:p>
    <w:p>
      <w:pPr>
        <w:spacing w:line="192" w:lineRule="auto" w:before="31"/>
        <w:ind w:left="125" w:right="987" w:hanging="4"/>
        <w:jc w:val="both"/>
        <w:rPr>
          <w:sz w:val="19"/>
        </w:rPr>
      </w:pPr>
      <w:r>
        <w:rPr>
          <w:w w:val="105"/>
          <w:sz w:val="18"/>
        </w:rPr>
        <w:t>confused Catholic dignitaries franticall</w:t>
      </w:r>
      <w:r>
        <w:rPr>
          <w:w w:val="105"/>
          <w:position w:val="-4"/>
          <w:sz w:val="18"/>
        </w:rPr>
        <w:t>y r' </w:t>
      </w:r>
      <w:r>
        <w:rPr>
          <w:w w:val="105"/>
          <w:sz w:val="18"/>
        </w:rPr>
        <w:t>e on more items on the right. A </w:t>
      </w:r>
      <w:r>
        <w:rPr>
          <w:w w:val="105"/>
          <w:sz w:val="19"/>
        </w:rPr>
        <w:t>grotesque devil hangs sus</w:t>
      </w:r>
      <w:r>
        <w:rPr>
          <w:w w:val="105"/>
          <w:position w:val="-3"/>
          <w:sz w:val="19"/>
        </w:rPr>
        <w:t>r </w:t>
      </w:r>
      <w:r>
        <w:rPr>
          <w:w w:val="105"/>
          <w:sz w:val="19"/>
        </w:rPr>
        <w:t>ended like a monkey from the Catholic </w:t>
      </w:r>
      <w:r>
        <w:rPr>
          <w:w w:val="105"/>
          <w:position w:val="-3"/>
          <w:sz w:val="19"/>
        </w:rPr>
        <w:t>r </w:t>
      </w:r>
      <w:r>
        <w:rPr>
          <w:w w:val="105"/>
          <w:position w:val="1"/>
          <w:sz w:val="19"/>
        </w:rPr>
        <w:t>a</w:t>
      </w:r>
      <w:r>
        <w:rPr>
          <w:w w:val="105"/>
          <w:position w:val="2"/>
          <w:sz w:val="19"/>
        </w:rPr>
        <w:t>n, </w:t>
      </w:r>
      <w:r>
        <w:rPr>
          <w:w w:val="105"/>
          <w:sz w:val="19"/>
        </w:rPr>
        <w:t>as he attem</w:t>
      </w:r>
      <w:r>
        <w:rPr>
          <w:w w:val="105"/>
          <w:position w:val="-3"/>
          <w:sz w:val="19"/>
        </w:rPr>
        <w:t>r </w:t>
      </w:r>
      <w:r>
        <w:rPr>
          <w:w w:val="105"/>
          <w:sz w:val="19"/>
        </w:rPr>
        <w:t>ts to </w:t>
      </w:r>
      <w:r>
        <w:rPr>
          <w:w w:val="105"/>
          <w:position w:val="2"/>
          <w:sz w:val="19"/>
        </w:rPr>
        <w:t>ti</w:t>
      </w:r>
      <w:r>
        <w:rPr>
          <w:w w:val="105"/>
          <w:position w:val="-2"/>
          <w:sz w:val="19"/>
        </w:rPr>
        <w:t>r </w:t>
      </w:r>
      <w:r>
        <w:rPr>
          <w:w w:val="105"/>
          <w:sz w:val="19"/>
        </w:rPr>
        <w:t>the scales back in that direction.</w:t>
      </w:r>
    </w:p>
    <w:p>
      <w:pPr>
        <w:pStyle w:val="BodyText"/>
        <w:spacing w:line="192" w:lineRule="auto"/>
        <w:ind w:left="327"/>
        <w:jc w:val="both"/>
      </w:pPr>
      <w:r>
        <w:rPr>
          <w:w w:val="105"/>
        </w:rPr>
        <w:t>Illustrations such  as these must  have had a  tremendous  </w:t>
      </w:r>
      <w:r>
        <w:rPr>
          <w:spacing w:val="2"/>
          <w:w w:val="105"/>
          <w:position w:val="2"/>
        </w:rPr>
        <w:t>a</w:t>
      </w:r>
      <w:r>
        <w:rPr>
          <w:spacing w:val="2"/>
          <w:w w:val="105"/>
          <w:position w:val="-3"/>
        </w:rPr>
        <w:t>rr  </w:t>
      </w:r>
      <w:r>
        <w:rPr>
          <w:w w:val="105"/>
          <w:position w:val="2"/>
        </w:rPr>
        <w:t>eal  </w:t>
      </w:r>
      <w:r>
        <w:rPr>
          <w:w w:val="105"/>
        </w:rPr>
        <w:t>for </w:t>
      </w:r>
      <w:r>
        <w:rPr>
          <w:spacing w:val="16"/>
          <w:w w:val="105"/>
        </w:rPr>
        <w:t> </w:t>
      </w:r>
      <w:r>
        <w:rPr>
          <w:w w:val="105"/>
        </w:rPr>
        <w:t>English-</w:t>
      </w:r>
    </w:p>
    <w:p>
      <w:pPr>
        <w:spacing w:line="220" w:lineRule="auto" w:before="0"/>
        <w:ind w:left="126" w:right="978" w:firstLine="0"/>
        <w:jc w:val="left"/>
        <w:rPr>
          <w:sz w:val="19"/>
        </w:rPr>
      </w:pPr>
      <w:r>
        <w:rPr>
          <w:sz w:val="18"/>
        </w:rPr>
        <w:t>men  in  the  second  half  of  the  sixteenth  century.  By  </w:t>
      </w:r>
      <w:r>
        <w:rPr>
          <w:position w:val="-4"/>
          <w:sz w:val="18"/>
        </w:rPr>
        <w:t>r </w:t>
      </w:r>
      <w:r>
        <w:rPr>
          <w:sz w:val="18"/>
        </w:rPr>
        <w:t>roviding   visualizations  </w:t>
      </w:r>
      <w:r>
        <w:rPr>
          <w:sz w:val="19"/>
        </w:rPr>
        <w:t>of key elements  of  the  contents  of  the  book  they  undoubtedly  </w:t>
      </w:r>
      <w:r>
        <w:rPr>
          <w:spacing w:val="2"/>
          <w:sz w:val="19"/>
        </w:rPr>
        <w:t>ex</w:t>
      </w:r>
      <w:r>
        <w:rPr>
          <w:spacing w:val="2"/>
          <w:position w:val="-3"/>
          <w:sz w:val="19"/>
        </w:rPr>
        <w:t>r </w:t>
      </w:r>
      <w:r>
        <w:rPr>
          <w:sz w:val="19"/>
        </w:rPr>
        <w:t>anded, </w:t>
      </w:r>
      <w:r>
        <w:rPr>
          <w:sz w:val="18"/>
        </w:rPr>
        <w:t>and at the  same  time,  conditioned  its  influence.  The  monumentality  of  the </w:t>
      </w:r>
      <w:r>
        <w:rPr>
          <w:sz w:val="19"/>
        </w:rPr>
        <w:t>design  of   the  title  </w:t>
      </w:r>
      <w:r>
        <w:rPr>
          <w:position w:val="-3"/>
          <w:sz w:val="19"/>
        </w:rPr>
        <w:t>r </w:t>
      </w:r>
      <w:r>
        <w:rPr>
          <w:position w:val="1"/>
          <w:sz w:val="19"/>
        </w:rPr>
        <w:t>age,  </w:t>
      </w:r>
      <w:r>
        <w:rPr>
          <w:sz w:val="19"/>
        </w:rPr>
        <w:t>the  glimpses  of  </w:t>
      </w:r>
      <w:r>
        <w:rPr>
          <w:position w:val="-4"/>
          <w:sz w:val="19"/>
        </w:rPr>
        <w:t>r </w:t>
      </w:r>
      <w:r>
        <w:rPr>
          <w:sz w:val="19"/>
        </w:rPr>
        <w:t>e</w:t>
      </w:r>
      <w:r>
        <w:rPr>
          <w:position w:val="1"/>
          <w:sz w:val="19"/>
        </w:rPr>
        <w:t>r</w:t>
      </w:r>
      <w:r>
        <w:rPr>
          <w:sz w:val="19"/>
        </w:rPr>
        <w:t>sonal  tragedy  revealed   in </w:t>
      </w:r>
      <w:r>
        <w:rPr>
          <w:spacing w:val="19"/>
          <w:sz w:val="19"/>
        </w:rPr>
        <w:t> </w:t>
      </w:r>
      <w:r>
        <w:rPr>
          <w:sz w:val="19"/>
        </w:rPr>
        <w:t>the</w:t>
      </w:r>
    </w:p>
    <w:p>
      <w:pPr>
        <w:pStyle w:val="BodyText"/>
        <w:spacing w:line="170" w:lineRule="auto"/>
        <w:ind w:left="125"/>
      </w:pPr>
      <w:r>
        <w:rPr>
          <w:w w:val="110"/>
        </w:rPr>
        <w:t>faces of victims and relatives alike, the boldness of  the </w:t>
      </w:r>
      <w:r>
        <w:rPr>
          <w:spacing w:val="2"/>
          <w:w w:val="110"/>
        </w:rPr>
        <w:t>re</w:t>
      </w:r>
      <w:r>
        <w:rPr>
          <w:spacing w:val="2"/>
          <w:w w:val="110"/>
          <w:position w:val="-4"/>
        </w:rPr>
        <w:t>r </w:t>
      </w:r>
      <w:r>
        <w:rPr>
          <w:w w:val="110"/>
        </w:rPr>
        <w:t>resentation </w:t>
      </w:r>
      <w:r>
        <w:rPr>
          <w:spacing w:val="11"/>
          <w:w w:val="110"/>
        </w:rPr>
        <w:t> </w:t>
      </w:r>
      <w:r>
        <w:rPr>
          <w:w w:val="110"/>
        </w:rPr>
        <w:t>of  the</w:t>
      </w:r>
    </w:p>
    <w:p>
      <w:pPr>
        <w:spacing w:line="206" w:lineRule="auto" w:before="0"/>
        <w:ind w:left="123" w:right="988" w:hanging="5"/>
        <w:jc w:val="both"/>
        <w:rPr>
          <w:sz w:val="18"/>
        </w:rPr>
      </w:pPr>
      <w:r>
        <w:rPr>
          <w:w w:val="105"/>
          <w:sz w:val="18"/>
        </w:rPr>
        <w:t>Cuernsey scene, and the dramatic quality of the de</w:t>
      </w:r>
      <w:r>
        <w:rPr>
          <w:w w:val="105"/>
          <w:position w:val="-3"/>
          <w:sz w:val="18"/>
        </w:rPr>
        <w:t>r </w:t>
      </w:r>
      <w:r>
        <w:rPr>
          <w:w w:val="105"/>
          <w:sz w:val="18"/>
        </w:rPr>
        <w:t>ictio</w:t>
      </w:r>
      <w:r>
        <w:rPr>
          <w:w w:val="105"/>
          <w:position w:val="2"/>
          <w:sz w:val="18"/>
        </w:rPr>
        <w:t>n </w:t>
      </w:r>
      <w:r>
        <w:rPr>
          <w:w w:val="105"/>
          <w:sz w:val="18"/>
        </w:rPr>
        <w:t>of  Cranmer’s  ges-  ture at the stake, all combine to </w:t>
      </w:r>
      <w:r>
        <w:rPr>
          <w:w w:val="105"/>
          <w:position w:val="-2"/>
          <w:sz w:val="18"/>
        </w:rPr>
        <w:t>r </w:t>
      </w:r>
      <w:r>
        <w:rPr>
          <w:w w:val="105"/>
          <w:position w:val="2"/>
          <w:sz w:val="18"/>
        </w:rPr>
        <w:t>l</w:t>
      </w:r>
      <w:r>
        <w:rPr>
          <w:w w:val="105"/>
          <w:sz w:val="18"/>
        </w:rPr>
        <w:t>ace Foxe and his  illustrator  in  the  same league with their continental Protestant  </w:t>
      </w:r>
      <w:r>
        <w:rPr>
          <w:w w:val="105"/>
          <w:position w:val="-4"/>
          <w:sz w:val="18"/>
        </w:rPr>
        <w:t>r </w:t>
      </w:r>
      <w:r>
        <w:rPr>
          <w:w w:val="105"/>
          <w:sz w:val="18"/>
        </w:rPr>
        <w:t>redecessors  and  contem </w:t>
      </w:r>
      <w:r>
        <w:rPr>
          <w:w w:val="105"/>
          <w:position w:val="-3"/>
          <w:sz w:val="18"/>
        </w:rPr>
        <w:t>r </w:t>
      </w:r>
      <w:r>
        <w:rPr>
          <w:w w:val="105"/>
          <w:sz w:val="18"/>
        </w:rPr>
        <w:t>oraries  in </w:t>
      </w:r>
      <w:r>
        <w:rPr>
          <w:w w:val="105"/>
          <w:sz w:val="19"/>
        </w:rPr>
        <w:t>the elective </w:t>
      </w:r>
      <w:r>
        <w:rPr>
          <w:spacing w:val="5"/>
          <w:w w:val="105"/>
          <w:position w:val="2"/>
          <w:sz w:val="19"/>
        </w:rPr>
        <w:t>a</w:t>
      </w:r>
      <w:r>
        <w:rPr>
          <w:spacing w:val="5"/>
          <w:w w:val="105"/>
          <w:position w:val="-2"/>
          <w:sz w:val="19"/>
        </w:rPr>
        <w:t>r </w:t>
      </w:r>
      <w:r>
        <w:rPr>
          <w:w w:val="105"/>
          <w:sz w:val="19"/>
        </w:rPr>
        <w:t>pro</w:t>
      </w:r>
      <w:r>
        <w:rPr>
          <w:w w:val="105"/>
          <w:position w:val="-3"/>
          <w:sz w:val="19"/>
        </w:rPr>
        <w:t>r </w:t>
      </w:r>
      <w:r>
        <w:rPr>
          <w:w w:val="105"/>
          <w:sz w:val="19"/>
        </w:rPr>
        <w:t>riation of </w:t>
      </w:r>
      <w:r>
        <w:rPr>
          <w:w w:val="105"/>
          <w:position w:val="-3"/>
          <w:sz w:val="19"/>
        </w:rPr>
        <w:t>r </w:t>
      </w:r>
      <w:r>
        <w:rPr>
          <w:spacing w:val="3"/>
          <w:w w:val="105"/>
          <w:position w:val="2"/>
          <w:sz w:val="19"/>
        </w:rPr>
        <w:t>o</w:t>
      </w:r>
      <w:r>
        <w:rPr>
          <w:spacing w:val="3"/>
          <w:w w:val="105"/>
          <w:position w:val="-3"/>
          <w:sz w:val="19"/>
        </w:rPr>
        <w:t>r </w:t>
      </w:r>
      <w:r>
        <w:rPr>
          <w:w w:val="105"/>
          <w:position w:val="2"/>
          <w:sz w:val="19"/>
        </w:rPr>
        <w:t>ul</w:t>
      </w:r>
      <w:r>
        <w:rPr>
          <w:w w:val="105"/>
          <w:position w:val="1"/>
          <w:sz w:val="19"/>
        </w:rPr>
        <w:t>ar </w:t>
      </w:r>
      <w:r>
        <w:rPr>
          <w:w w:val="105"/>
          <w:sz w:val="19"/>
        </w:rPr>
        <w:t>visual images for religious </w:t>
      </w:r>
      <w:r>
        <w:rPr>
          <w:w w:val="105"/>
          <w:position w:val="-3"/>
          <w:sz w:val="19"/>
        </w:rPr>
        <w:t>r </w:t>
      </w:r>
      <w:r>
        <w:rPr>
          <w:w w:val="105"/>
          <w:sz w:val="19"/>
        </w:rPr>
        <w:t>olemical </w:t>
      </w:r>
      <w:r>
        <w:rPr>
          <w:w w:val="105"/>
          <w:sz w:val="18"/>
        </w:rPr>
        <w:t>purposes.</w:t>
      </w:r>
    </w:p>
    <w:p>
      <w:pPr>
        <w:pStyle w:val="Heading2"/>
        <w:spacing w:line="244" w:lineRule="exact"/>
        <w:ind w:left="317"/>
      </w:pPr>
      <w:r>
        <w:rPr/>
        <w:t>Perha </w:t>
      </w:r>
      <w:r>
        <w:rPr>
          <w:position w:val="-3"/>
        </w:rPr>
        <w:t>r </w:t>
      </w:r>
      <w:r>
        <w:rPr/>
        <w:t>s the most  </w:t>
      </w:r>
      <w:r>
        <w:rPr>
          <w:position w:val="-4"/>
        </w:rPr>
        <w:t>r </w:t>
      </w:r>
      <w:r>
        <w:rPr/>
        <w:t>ersuasive  testimony  to the eEect  of  Foxe’s  book is </w:t>
      </w:r>
      <w:r>
        <w:rPr>
          <w:spacing w:val="10"/>
        </w:rPr>
        <w:t> </w:t>
      </w:r>
      <w:r>
        <w:rPr/>
        <w:t>the</w:t>
      </w:r>
    </w:p>
    <w:p>
      <w:pPr>
        <w:pStyle w:val="BodyText"/>
        <w:spacing w:line="189" w:lineRule="exact"/>
        <w:ind w:left="116"/>
        <w:jc w:val="both"/>
      </w:pPr>
      <w:r>
        <w:rPr>
          <w:w w:val="110"/>
        </w:rPr>
        <w:t>haste with  which the Catholics began  to answer  it. As early as 1565</w:t>
      </w:r>
      <w:r>
        <w:rPr>
          <w:spacing w:val="-18"/>
          <w:w w:val="110"/>
        </w:rPr>
        <w:t> </w:t>
      </w:r>
      <w:r>
        <w:rPr>
          <w:w w:val="110"/>
        </w:rPr>
        <w:t>Thomas</w:t>
      </w:r>
    </w:p>
    <w:p>
      <w:pPr>
        <w:pStyle w:val="BodyText"/>
        <w:spacing w:line="259" w:lineRule="auto"/>
        <w:ind w:left="108" w:right="989" w:firstLine="17"/>
        <w:jc w:val="both"/>
      </w:pPr>
      <w:r>
        <w:rPr>
          <w:w w:val="110"/>
        </w:rPr>
        <w:t>Harding turned aside from his controversy with John Jewel to attack “that huge dongehill of your stinking martyrs, which ye have intituled Actes and monuments.” </w:t>
      </w:r>
      <w:r>
        <w:rPr>
          <w:w w:val="110"/>
          <w:position w:val="5"/>
          <w:sz w:val="13"/>
        </w:rPr>
        <w:t>22 </w:t>
      </w:r>
      <w:r>
        <w:rPr>
          <w:w w:val="110"/>
        </w:rPr>
        <w:t>According to Harding, Foxe “hath into that Huge volume infarced lyes, moe in number, and notabler  for vanitie,  then  ever were</w:t>
      </w:r>
      <w:r>
        <w:rPr>
          <w:spacing w:val="5"/>
          <w:w w:val="110"/>
        </w:rPr>
        <w:t> </w:t>
      </w:r>
      <w:r>
        <w:rPr>
          <w:w w:val="110"/>
        </w:rPr>
        <w:t>raked</w:t>
      </w:r>
    </w:p>
    <w:p>
      <w:pPr>
        <w:pStyle w:val="BodyText"/>
        <w:spacing w:line="229" w:lineRule="exact"/>
        <w:ind w:left="123"/>
        <w:jc w:val="both"/>
      </w:pPr>
      <w:r>
        <w:rPr>
          <w:w w:val="110"/>
        </w:rPr>
        <w:t>together into any one </w:t>
      </w:r>
      <w:r>
        <w:rPr>
          <w:w w:val="110"/>
          <w:position w:val="1"/>
        </w:rPr>
        <w:t>hea</w:t>
      </w:r>
      <w:r>
        <w:rPr>
          <w:w w:val="110"/>
          <w:position w:val="-2"/>
        </w:rPr>
        <w:t>r </w:t>
      </w:r>
      <w:r>
        <w:rPr>
          <w:w w:val="110"/>
          <w:position w:val="1"/>
        </w:rPr>
        <w:t>e, </w:t>
      </w:r>
      <w:r>
        <w:rPr>
          <w:w w:val="110"/>
        </w:rPr>
        <w:t>or </w:t>
      </w:r>
      <w:r>
        <w:rPr>
          <w:w w:val="110"/>
          <w:position w:val="-1"/>
        </w:rPr>
        <w:t>booke.</w:t>
      </w:r>
      <w:r>
        <w:rPr>
          <w:w w:val="110"/>
          <w:position w:val="3"/>
        </w:rPr>
        <w:t>”23</w:t>
      </w:r>
    </w:p>
    <w:p>
      <w:pPr>
        <w:pStyle w:val="BodyText"/>
        <w:spacing w:line="232" w:lineRule="auto"/>
        <w:ind w:left="118" w:right="992" w:firstLine="212"/>
        <w:jc w:val="both"/>
      </w:pPr>
      <w:r>
        <w:rPr>
          <w:w w:val="110"/>
        </w:rPr>
        <w:t>Nicholas Harpsfield, who Foxe had described as “the sorest, and of leste com </w:t>
      </w:r>
      <w:r>
        <w:rPr>
          <w:w w:val="110"/>
          <w:position w:val="-4"/>
        </w:rPr>
        <w:t>r </w:t>
      </w:r>
      <w:r>
        <w:rPr>
          <w:w w:val="110"/>
        </w:rPr>
        <w:t>assion ”</w:t>
      </w:r>
      <w:r>
        <w:rPr>
          <w:w w:val="110"/>
          <w:position w:val="5"/>
          <w:sz w:val="13"/>
        </w:rPr>
        <w:t>2</w:t>
      </w:r>
      <w:r>
        <w:rPr>
          <w:w w:val="110"/>
        </w:rPr>
        <w:t>^ of the </w:t>
      </w:r>
      <w:r>
        <w:rPr>
          <w:w w:val="110"/>
          <w:position w:val="-4"/>
        </w:rPr>
        <w:t>r </w:t>
      </w:r>
      <w:r>
        <w:rPr>
          <w:w w:val="110"/>
        </w:rPr>
        <w:t>ersecuting archdeacons under Mary, continued the assault  the following year, in his  </w:t>
      </w:r>
      <w:r>
        <w:rPr>
          <w:i/>
          <w:w w:val="110"/>
        </w:rPr>
        <w:t>Dialogi </w:t>
      </w:r>
      <w:r>
        <w:rPr>
          <w:w w:val="110"/>
        </w:rPr>
        <w:t>See. Thomas </w:t>
      </w:r>
      <w:r>
        <w:rPr>
          <w:spacing w:val="2"/>
          <w:w w:val="110"/>
        </w:rPr>
        <w:t>Sta</w:t>
      </w:r>
      <w:r>
        <w:rPr>
          <w:spacing w:val="2"/>
          <w:w w:val="110"/>
          <w:position w:val="-3"/>
        </w:rPr>
        <w:t>r </w:t>
      </w:r>
      <w:r>
        <w:rPr>
          <w:w w:val="110"/>
        </w:rPr>
        <w:t>leton, one of </w:t>
      </w:r>
      <w:r>
        <w:rPr>
          <w:spacing w:val="9"/>
          <w:w w:val="110"/>
        </w:rPr>
        <w:t> </w:t>
      </w:r>
      <w:r>
        <w:rPr>
          <w:w w:val="110"/>
        </w:rPr>
        <w:t>the</w:t>
      </w:r>
    </w:p>
    <w:p>
      <w:pPr>
        <w:pStyle w:val="BodyText"/>
        <w:spacing w:line="192" w:lineRule="auto"/>
        <w:ind w:left="123"/>
        <w:jc w:val="both"/>
      </w:pPr>
      <w:r>
        <w:rPr>
          <w:w w:val="110"/>
        </w:rPr>
        <w:t>most  res</w:t>
      </w:r>
      <w:r>
        <w:rPr>
          <w:w w:val="110"/>
          <w:position w:val="-4"/>
        </w:rPr>
        <w:t>r </w:t>
      </w:r>
      <w:r>
        <w:rPr>
          <w:w w:val="110"/>
        </w:rPr>
        <w:t>ected controversialists of  the  time, joined  the fray in 1567,</w:t>
      </w:r>
      <w:r>
        <w:rPr>
          <w:spacing w:val="2"/>
          <w:w w:val="110"/>
        </w:rPr>
        <w:t> </w:t>
      </w:r>
      <w:r>
        <w:rPr>
          <w:w w:val="110"/>
        </w:rPr>
        <w:t>direct-</w:t>
      </w:r>
    </w:p>
    <w:p>
      <w:pPr>
        <w:pStyle w:val="BodyText"/>
        <w:spacing w:line="223" w:lineRule="auto"/>
        <w:ind w:left="111" w:right="1003" w:firstLine="4"/>
        <w:jc w:val="both"/>
      </w:pPr>
      <w:r>
        <w:rPr>
          <w:w w:val="110"/>
        </w:rPr>
        <w:t>ing his </w:t>
      </w:r>
      <w:r>
        <w:rPr>
          <w:i/>
          <w:w w:val="110"/>
        </w:rPr>
        <w:t>Counterblast </w:t>
      </w:r>
      <w:r>
        <w:rPr>
          <w:w w:val="110"/>
        </w:rPr>
        <w:t>in part against Poxe’s “madde martyrloge” and the </w:t>
      </w:r>
      <w:r>
        <w:rPr>
          <w:w w:val="110"/>
          <w:position w:val="2"/>
        </w:rPr>
        <w:t>“develish dirty donghil of his fowle heretical and trayterous </w:t>
      </w:r>
      <w:r>
        <w:rPr>
          <w:w w:val="110"/>
        </w:rPr>
        <w:t>Ma</w:t>
      </w:r>
      <w:r>
        <w:rPr>
          <w:w w:val="110"/>
          <w:position w:val="1"/>
        </w:rPr>
        <w:t>r</w:t>
      </w:r>
      <w:r>
        <w:rPr>
          <w:w w:val="110"/>
        </w:rPr>
        <w:t>tyrs.</w:t>
      </w:r>
      <w:r>
        <w:rPr>
          <w:w w:val="110"/>
          <w:position w:val="5"/>
        </w:rPr>
        <w:t>”25</w:t>
      </w:r>
    </w:p>
    <w:p>
      <w:pPr>
        <w:spacing w:line="211" w:lineRule="exact" w:before="69"/>
        <w:ind w:left="301" w:right="0" w:firstLine="0"/>
        <w:jc w:val="both"/>
        <w:rPr>
          <w:i/>
          <w:sz w:val="16"/>
        </w:rPr>
      </w:pPr>
      <w:r>
        <w:rPr>
          <w:w w:val="105"/>
          <w:position w:val="3"/>
          <w:sz w:val="16"/>
        </w:rPr>
        <w:t>2zA </w:t>
      </w:r>
      <w:r>
        <w:rPr>
          <w:w w:val="105"/>
          <w:sz w:val="16"/>
        </w:rPr>
        <w:t>Con/utotion o/ </w:t>
      </w:r>
      <w:r>
        <w:rPr>
          <w:i/>
          <w:w w:val="105"/>
          <w:sz w:val="16"/>
        </w:rPr>
        <w:t>a Booze intituled an </w:t>
      </w:r>
      <w:r>
        <w:rPr>
          <w:w w:val="105"/>
          <w:sz w:val="16"/>
        </w:rPr>
        <w:t>Apofogie o/ </w:t>
      </w:r>
      <w:r>
        <w:rPr>
          <w:i/>
          <w:w w:val="105"/>
          <w:sz w:val="16"/>
        </w:rPr>
        <w:t>the </w:t>
      </w:r>
      <w:r>
        <w:rPr>
          <w:w w:val="105"/>
          <w:sz w:val="16"/>
        </w:rPr>
        <w:t>C'hurch o/ </w:t>
      </w:r>
      <w:r>
        <w:rPr>
          <w:i/>
          <w:w w:val="105"/>
          <w:sz w:val="16"/>
        </w:rPr>
        <w:t>England</w:t>
      </w:r>
    </w:p>
    <w:p>
      <w:pPr>
        <w:spacing w:line="185" w:lineRule="exact" w:before="0"/>
        <w:ind w:left="114" w:right="0" w:firstLine="0"/>
        <w:jc w:val="both"/>
        <w:rPr>
          <w:sz w:val="17"/>
        </w:rPr>
      </w:pPr>
      <w:r>
        <w:rPr>
          <w:w w:val="105"/>
          <w:sz w:val="17"/>
        </w:rPr>
        <w:t>(Antwerpe: Ihon Laet, 1565), fo1. 14*.</w:t>
      </w:r>
    </w:p>
    <w:p>
      <w:pPr>
        <w:spacing w:line="220" w:lineRule="auto" w:before="5"/>
        <w:ind w:left="108" w:right="1010" w:firstLine="153"/>
        <w:jc w:val="left"/>
        <w:rPr>
          <w:sz w:val="17"/>
        </w:rPr>
      </w:pPr>
      <w:r>
        <w:rPr>
          <w:i/>
          <w:w w:val="105"/>
          <w:sz w:val="17"/>
        </w:rPr>
        <w:t>**A </w:t>
      </w:r>
      <w:r>
        <w:rPr>
          <w:w w:val="105"/>
          <w:sz w:val="17"/>
        </w:rPr>
        <w:t>Reiooidre to M. </w:t>
      </w:r>
      <w:r>
        <w:rPr>
          <w:i/>
          <w:w w:val="105"/>
          <w:sz w:val="17"/>
        </w:rPr>
        <w:t>levels Replie </w:t>
      </w:r>
      <w:r>
        <w:rPr>
          <w:w w:val="105"/>
          <w:sz w:val="17"/>
        </w:rPr>
        <w:t>against </w:t>
      </w:r>
      <w:r>
        <w:rPr>
          <w:i/>
          <w:w w:val="105"/>
          <w:sz w:val="17"/>
        </w:rPr>
        <w:t>the </w:t>
      </w:r>
      <w:r>
        <w:rPr>
          <w:w w:val="105"/>
          <w:sz w:val="17"/>
        </w:rPr>
        <w:t>Sacri e o{ </w:t>
      </w:r>
      <w:r>
        <w:rPr>
          <w:i/>
          <w:w w:val="105"/>
          <w:sz w:val="17"/>
        </w:rPr>
        <w:t>the </w:t>
      </w:r>
      <w:r>
        <w:rPr>
          <w:w w:val="105"/>
          <w:sz w:val="17"/>
        </w:rPr>
        <w:t>Mosse (Lovanii: loannem Foulerum, 1567), fo1.</w:t>
      </w:r>
      <w:r>
        <w:rPr>
          <w:spacing w:val="5"/>
          <w:w w:val="105"/>
          <w:sz w:val="17"/>
        </w:rPr>
        <w:t> </w:t>
      </w:r>
      <w:r>
        <w:rPr>
          <w:w w:val="105"/>
          <w:sz w:val="17"/>
        </w:rPr>
        <w:t>184*.</w:t>
      </w:r>
    </w:p>
    <w:p>
      <w:pPr>
        <w:spacing w:line="173" w:lineRule="exact" w:before="0"/>
        <w:ind w:left="290" w:right="0" w:firstLine="0"/>
        <w:jc w:val="left"/>
        <w:rPr>
          <w:sz w:val="16"/>
        </w:rPr>
      </w:pPr>
      <w:r>
        <w:rPr>
          <w:w w:val="110"/>
          <w:position w:val="1"/>
          <w:sz w:val="16"/>
        </w:rPr>
        <w:t>24@p{</w:t>
      </w:r>
      <w:r>
        <w:rPr>
          <w:w w:val="110"/>
          <w:position w:val="-1"/>
          <w:sz w:val="16"/>
        </w:rPr>
        <w:t>es</w:t>
      </w:r>
      <w:r>
        <w:rPr>
          <w:spacing w:val="-20"/>
          <w:w w:val="110"/>
          <w:position w:val="-1"/>
          <w:sz w:val="16"/>
        </w:rPr>
        <w:t> </w:t>
      </w:r>
      <w:r>
        <w:rPr>
          <w:i/>
          <w:w w:val="110"/>
          <w:sz w:val="16"/>
        </w:rPr>
        <w:t>and</w:t>
      </w:r>
      <w:r>
        <w:rPr>
          <w:i/>
          <w:spacing w:val="-9"/>
          <w:w w:val="110"/>
          <w:sz w:val="16"/>
        </w:rPr>
        <w:t> </w:t>
      </w:r>
      <w:r>
        <w:rPr>
          <w:w w:val="110"/>
          <w:sz w:val="16"/>
        </w:rPr>
        <w:t>Monuments,</w:t>
      </w:r>
      <w:r>
        <w:rPr>
          <w:spacing w:val="-12"/>
          <w:w w:val="110"/>
          <w:sz w:val="16"/>
        </w:rPr>
        <w:t> </w:t>
      </w:r>
      <w:r>
        <w:rPr>
          <w:w w:val="110"/>
          <w:sz w:val="16"/>
        </w:rPr>
        <w:t>p.</w:t>
      </w:r>
      <w:r>
        <w:rPr>
          <w:spacing w:val="-13"/>
          <w:w w:val="110"/>
          <w:sz w:val="16"/>
        </w:rPr>
        <w:t> </w:t>
      </w:r>
      <w:r>
        <w:rPr>
          <w:w w:val="110"/>
          <w:sz w:val="16"/>
        </w:rPr>
        <w:t>1546.</w:t>
      </w:r>
    </w:p>
    <w:p>
      <w:pPr>
        <w:tabs>
          <w:tab w:pos="850" w:val="left" w:leader="none"/>
        </w:tabs>
        <w:spacing w:line="180" w:lineRule="exact" w:before="15"/>
        <w:ind w:left="110" w:right="1010" w:firstLine="188"/>
        <w:jc w:val="left"/>
        <w:rPr>
          <w:sz w:val="16"/>
        </w:rPr>
      </w:pPr>
      <w:r>
        <w:rPr>
          <w:position w:val="3"/>
          <w:sz w:val="16"/>
        </w:rPr>
        <w:t>2S@</w:t>
        <w:tab/>
      </w:r>
      <w:r>
        <w:rPr>
          <w:w w:val="110"/>
          <w:sz w:val="16"/>
        </w:rPr>
        <w:t>uoterbfast to M. homes </w:t>
      </w:r>
      <w:r>
        <w:rPr>
          <w:i/>
          <w:w w:val="110"/>
          <w:sz w:val="16"/>
        </w:rPr>
        <w:t>Vayne Blaste Against </w:t>
      </w:r>
      <w:r>
        <w:rPr>
          <w:w w:val="110"/>
          <w:sz w:val="16"/>
        </w:rPr>
        <w:t>M. Fekenhoni (Lovanii: Joannem Foulerum, 1567), sig.</w:t>
      </w:r>
      <w:r>
        <w:rPr>
          <w:spacing w:val="-14"/>
          <w:w w:val="110"/>
          <w:sz w:val="16"/>
        </w:rPr>
        <w:t> </w:t>
      </w:r>
      <w:r>
        <w:rPr>
          <w:w w:val="110"/>
          <w:sz w:val="16"/>
        </w:rPr>
        <w:t>P4*.</w:t>
      </w:r>
    </w:p>
    <w:p>
      <w:pPr>
        <w:spacing w:after="0" w:line="180" w:lineRule="exact"/>
        <w:jc w:val="left"/>
        <w:rPr>
          <w:sz w:val="16"/>
        </w:rPr>
        <w:sectPr>
          <w:pgSz w:w="8370" w:h="13120"/>
          <w:pgMar w:top="880" w:bottom="280" w:left="520" w:right="520"/>
        </w:sectPr>
      </w:pPr>
    </w:p>
    <w:p>
      <w:pPr>
        <w:pStyle w:val="Heading2"/>
        <w:tabs>
          <w:tab w:pos="7033" w:val="left" w:leader="none"/>
        </w:tabs>
        <w:spacing w:before="71"/>
        <w:ind w:left="1866"/>
        <w:jc w:val="left"/>
        <w:rPr>
          <w:sz w:val="30"/>
        </w:rPr>
      </w:pPr>
      <w:r>
        <w:rPr/>
        <w:t>ICONOGRAPHY  OF  FOXE’S  BOOK </w:t>
      </w:r>
      <w:r>
        <w:rPr>
          <w:spacing w:val="4"/>
        </w:rPr>
        <w:t> </w:t>
      </w:r>
      <w:r>
        <w:rPr/>
        <w:t>OF</w:t>
      </w:r>
      <w:r>
        <w:rPr>
          <w:spacing w:val="30"/>
        </w:rPr>
        <w:t> </w:t>
      </w:r>
      <w:r>
        <w:rPr/>
        <w:t>MARTYRS</w:t>
        <w:tab/>
      </w:r>
      <w:r>
        <w:rPr>
          <w:sz w:val="30"/>
        </w:rPr>
        <w:t>zi</w:t>
      </w:r>
    </w:p>
    <w:p>
      <w:pPr>
        <w:pStyle w:val="BodyText"/>
        <w:spacing w:line="264" w:lineRule="auto" w:before="235"/>
        <w:ind w:left="994" w:right="111" w:firstLine="206"/>
        <w:jc w:val="both"/>
      </w:pPr>
      <w:r>
        <w:rPr>
          <w:w w:val="105"/>
        </w:rPr>
        <w:t>By the end of Elizabeth’s reign the Jesuit Robert Parsons  was prepared  to label Foxe “the most fraudulent and perfidious wryter that  ever</w:t>
      </w:r>
      <w:r>
        <w:rPr>
          <w:spacing w:val="47"/>
          <w:w w:val="105"/>
        </w:rPr>
        <w:t> </w:t>
      </w:r>
      <w:r>
        <w:rPr>
          <w:w w:val="105"/>
        </w:rPr>
        <w:t>put  pen  to paper in our language.” </w:t>
      </w:r>
      <w:r>
        <w:rPr>
          <w:w w:val="105"/>
          <w:position w:val="5"/>
          <w:sz w:val="13"/>
        </w:rPr>
        <w:t>26 </w:t>
      </w:r>
      <w:r>
        <w:rPr>
          <w:w w:val="105"/>
        </w:rPr>
        <w:t>He may have been closer to the</w:t>
      </w:r>
      <w:r>
        <w:rPr>
          <w:spacing w:val="47"/>
          <w:w w:val="105"/>
        </w:rPr>
        <w:t> </w:t>
      </w:r>
      <w:r>
        <w:rPr>
          <w:w w:val="105"/>
        </w:rPr>
        <w:t>mark  when  he charged that the Book of</w:t>
      </w:r>
      <w:r>
        <w:rPr>
          <w:spacing w:val="47"/>
          <w:w w:val="105"/>
        </w:rPr>
        <w:t> </w:t>
      </w:r>
      <w:r>
        <w:rPr>
          <w:w w:val="105"/>
        </w:rPr>
        <w:t>Martyrs  “hath  done  more  hurt  alone  to  simple soules in our countrey  by  infectinge  and  poysoninge</w:t>
      </w:r>
      <w:r>
        <w:rPr>
          <w:spacing w:val="47"/>
          <w:w w:val="105"/>
        </w:rPr>
        <w:t> </w:t>
      </w:r>
      <w:r>
        <w:rPr>
          <w:w w:val="105"/>
        </w:rPr>
        <w:t>them  unwares,  under  the bayte of pleasant historyes,</w:t>
      </w:r>
      <w:r>
        <w:rPr>
          <w:spacing w:val="47"/>
          <w:w w:val="105"/>
        </w:rPr>
        <w:t> </w:t>
      </w:r>
      <w:r>
        <w:rPr>
          <w:w w:val="105"/>
        </w:rPr>
        <w:t>fayre  pictures,  and  painted  pageants,  then many other the most pestilent bookes</w:t>
      </w:r>
      <w:r>
        <w:rPr>
          <w:spacing w:val="13"/>
          <w:w w:val="105"/>
        </w:rPr>
        <w:t> </w:t>
      </w:r>
      <w:r>
        <w:rPr>
          <w:w w:val="105"/>
        </w:rPr>
        <w:t>togeather.”*°</w:t>
      </w:r>
    </w:p>
    <w:p>
      <w:pPr>
        <w:pStyle w:val="BodyText"/>
        <w:spacing w:line="261" w:lineRule="auto" w:before="1"/>
        <w:ind w:left="995" w:right="111" w:firstLine="209"/>
        <w:jc w:val="both"/>
      </w:pPr>
      <w:r>
        <w:rPr>
          <w:w w:val="110"/>
        </w:rPr>
        <w:t>But even before Foxe’s death in 1587 the extent of the impact of his work was already becoming apparent. Catholic reactions  notwithstanding,  the Book of Martyrs remained the most widely read, as well as the most inBu- ential account of the Marian persecution. For good or ill it almost single- handedly established the reputation of the Queen as “Bloody Mary” and the memory of her religious victims as martyrs. In the process, it virtually damned the cause of Roman Catholicism in England for centuries to come. The iconography of the book,  by  an  unknown  artist,  played  no small part in</w:t>
      </w:r>
      <w:r>
        <w:rPr>
          <w:spacing w:val="24"/>
          <w:w w:val="110"/>
        </w:rPr>
        <w:t> </w:t>
      </w:r>
      <w:r>
        <w:rPr>
          <w:w w:val="110"/>
        </w:rPr>
        <w:t>indelibly</w:t>
      </w:r>
      <w:r>
        <w:rPr>
          <w:spacing w:val="25"/>
          <w:w w:val="110"/>
        </w:rPr>
        <w:t> </w:t>
      </w:r>
      <w:r>
        <w:rPr>
          <w:w w:val="110"/>
        </w:rPr>
        <w:t>impressing</w:t>
      </w:r>
      <w:r>
        <w:rPr>
          <w:spacing w:val="43"/>
          <w:w w:val="110"/>
        </w:rPr>
        <w:t> </w:t>
      </w:r>
      <w:r>
        <w:rPr>
          <w:w w:val="110"/>
        </w:rPr>
        <w:t>Foxe’s</w:t>
      </w:r>
      <w:r>
        <w:rPr>
          <w:spacing w:val="27"/>
          <w:w w:val="110"/>
        </w:rPr>
        <w:t> </w:t>
      </w:r>
      <w:r>
        <w:rPr>
          <w:w w:val="110"/>
        </w:rPr>
        <w:t>images</w:t>
      </w:r>
      <w:r>
        <w:rPr>
          <w:spacing w:val="25"/>
          <w:w w:val="110"/>
        </w:rPr>
        <w:t> </w:t>
      </w:r>
      <w:r>
        <w:rPr>
          <w:w w:val="110"/>
        </w:rPr>
        <w:t>upon</w:t>
      </w:r>
      <w:r>
        <w:rPr>
          <w:spacing w:val="21"/>
          <w:w w:val="110"/>
        </w:rPr>
        <w:t> </w:t>
      </w:r>
      <w:r>
        <w:rPr>
          <w:w w:val="110"/>
        </w:rPr>
        <w:t>the</w:t>
      </w:r>
      <w:r>
        <w:rPr>
          <w:spacing w:val="22"/>
          <w:w w:val="110"/>
        </w:rPr>
        <w:t> </w:t>
      </w:r>
      <w:r>
        <w:rPr>
          <w:w w:val="110"/>
        </w:rPr>
        <w:t>popular</w:t>
      </w:r>
      <w:r>
        <w:rPr>
          <w:spacing w:val="29"/>
          <w:w w:val="110"/>
        </w:rPr>
        <w:t> </w:t>
      </w:r>
      <w:r>
        <w:rPr>
          <w:w w:val="110"/>
        </w:rPr>
        <w:t>imagination.</w:t>
      </w:r>
    </w:p>
    <w:p>
      <w:pPr>
        <w:pStyle w:val="BodyText"/>
        <w:spacing w:before="5"/>
        <w:rPr>
          <w:sz w:val="19"/>
        </w:rPr>
      </w:pPr>
    </w:p>
    <w:p>
      <w:pPr>
        <w:spacing w:line="228" w:lineRule="exact" w:before="0"/>
        <w:ind w:left="1184" w:right="0" w:firstLine="0"/>
        <w:jc w:val="left"/>
        <w:rPr>
          <w:sz w:val="17"/>
        </w:rPr>
      </w:pPr>
      <w:r>
        <w:rPr>
          <w:position w:val="4"/>
          <w:sz w:val="17"/>
        </w:rPr>
        <w:t>2G</w:t>
      </w:r>
      <w:r>
        <w:rPr>
          <w:sz w:val="17"/>
        </w:rPr>
        <w:t>Tfi e </w:t>
      </w:r>
      <w:r>
        <w:rPr>
          <w:position w:val="1"/>
          <w:sz w:val="17"/>
        </w:rPr>
        <w:t>Wera-Word to Sir Francis </w:t>
      </w:r>
      <w:r>
        <w:rPr>
          <w:i/>
          <w:position w:val="1"/>
          <w:sz w:val="17"/>
        </w:rPr>
        <w:t>Hastings Wast-Word </w:t>
      </w:r>
      <w:r>
        <w:rPr>
          <w:position w:val="1"/>
          <w:sz w:val="17"/>
        </w:rPr>
        <w:t>(1602), fol. 120°.</w:t>
      </w:r>
    </w:p>
    <w:p>
      <w:pPr>
        <w:spacing w:line="220" w:lineRule="auto" w:before="5"/>
        <w:ind w:left="995" w:right="104" w:firstLine="180"/>
        <w:jc w:val="both"/>
        <w:rPr>
          <w:sz w:val="17"/>
        </w:rPr>
      </w:pPr>
      <w:r>
        <w:rPr>
          <w:w w:val="105"/>
          <w:sz w:val="17"/>
        </w:rPr>
        <w:t>*’A </w:t>
      </w:r>
      <w:r>
        <w:rPr>
          <w:i/>
          <w:w w:val="105"/>
          <w:sz w:val="17"/>
        </w:rPr>
        <w:t>Treatise o| Three Clonveisions o| </w:t>
      </w:r>
      <w:r>
        <w:rPr>
          <w:w w:val="105"/>
          <w:sz w:val="17"/>
        </w:rPr>
        <w:t>Eaglaad, </w:t>
      </w:r>
      <w:r>
        <w:rPr>
          <w:i/>
          <w:w w:val="105"/>
          <w:sz w:val="17"/>
        </w:rPr>
        <w:t>{rom Paganism to Christian </w:t>
      </w:r>
      <w:r>
        <w:rPr>
          <w:w w:val="105"/>
          <w:sz w:val="17"/>
        </w:rPr>
        <w:t>Reli- gion, 3 vols. (1603-1604), 3:400.</w:t>
      </w:r>
    </w:p>
    <w:p>
      <w:pPr>
        <w:spacing w:after="0" w:line="220" w:lineRule="auto"/>
        <w:jc w:val="both"/>
        <w:rPr>
          <w:sz w:val="17"/>
        </w:rPr>
        <w:sectPr>
          <w:pgSz w:w="8370" w:h="13120"/>
          <w:pgMar w:top="840" w:bottom="280" w:left="520" w:right="520"/>
        </w:sectPr>
      </w:pPr>
    </w:p>
    <w:p>
      <w:pPr>
        <w:spacing w:before="85"/>
        <w:ind w:left="3149" w:right="3098" w:firstLine="0"/>
        <w:jc w:val="center"/>
        <w:rPr>
          <w:rFonts w:ascii="Arial"/>
          <w:b/>
          <w:sz w:val="19"/>
        </w:rPr>
      </w:pPr>
      <w:r>
        <w:rPr>
          <w:rFonts w:ascii="Arial"/>
          <w:b/>
          <w:sz w:val="19"/>
          <w:u w:val="single"/>
        </w:rPr>
        <w:t>License and Permissible Use Notice</w:t>
      </w:r>
    </w:p>
    <w:p>
      <w:pPr>
        <w:pStyle w:val="BodyText"/>
        <w:spacing w:before="7"/>
        <w:rPr>
          <w:rFonts w:ascii="Arial"/>
          <w:b/>
          <w:sz w:val="28"/>
        </w:rPr>
      </w:pPr>
    </w:p>
    <w:p>
      <w:pPr>
        <w:spacing w:line="276" w:lineRule="auto" w:before="0"/>
        <w:ind w:left="119" w:right="62" w:hanging="5"/>
        <w:jc w:val="left"/>
        <w:rPr>
          <w:rFonts w:ascii="Arial" w:hAnsi="Arial"/>
          <w:sz w:val="22"/>
        </w:rPr>
      </w:pPr>
      <w:r>
        <w:rPr>
          <w:rFonts w:ascii="Arial" w:hAnsi="Arial"/>
          <w:sz w:val="22"/>
        </w:rPr>
        <w:t>These</w:t>
      </w:r>
      <w:r>
        <w:rPr>
          <w:rFonts w:ascii="Arial" w:hAnsi="Arial"/>
          <w:spacing w:val="-36"/>
          <w:sz w:val="22"/>
        </w:rPr>
        <w:t> </w:t>
      </w:r>
      <w:r>
        <w:rPr>
          <w:rFonts w:ascii="Arial" w:hAnsi="Arial"/>
          <w:sz w:val="22"/>
        </w:rPr>
        <w:t>materials</w:t>
      </w:r>
      <w:r>
        <w:rPr>
          <w:rFonts w:ascii="Arial" w:hAnsi="Arial"/>
          <w:spacing w:val="-31"/>
          <w:sz w:val="22"/>
        </w:rPr>
        <w:t> </w:t>
      </w:r>
      <w:r>
        <w:rPr>
          <w:rFonts w:ascii="Arial" w:hAnsi="Arial"/>
          <w:sz w:val="22"/>
        </w:rPr>
        <w:t>are</w:t>
      </w:r>
      <w:r>
        <w:rPr>
          <w:rFonts w:ascii="Arial" w:hAnsi="Arial"/>
          <w:spacing w:val="-33"/>
          <w:sz w:val="22"/>
        </w:rPr>
        <w:t> </w:t>
      </w:r>
      <w:r>
        <w:rPr>
          <w:rFonts w:ascii="Arial" w:hAnsi="Arial"/>
          <w:sz w:val="22"/>
        </w:rPr>
        <w:t>provided</w:t>
      </w:r>
      <w:r>
        <w:rPr>
          <w:rFonts w:ascii="Arial" w:hAnsi="Arial"/>
          <w:spacing w:val="-30"/>
          <w:sz w:val="22"/>
        </w:rPr>
        <w:t> </w:t>
      </w:r>
      <w:r>
        <w:rPr>
          <w:rFonts w:ascii="Arial" w:hAnsi="Arial"/>
          <w:sz w:val="22"/>
        </w:rPr>
        <w:t>to</w:t>
      </w:r>
      <w:r>
        <w:rPr>
          <w:rFonts w:ascii="Arial" w:hAnsi="Arial"/>
          <w:spacing w:val="-37"/>
          <w:sz w:val="22"/>
        </w:rPr>
        <w:t> </w:t>
      </w:r>
      <w:r>
        <w:rPr>
          <w:rFonts w:ascii="Arial" w:hAnsi="Arial"/>
          <w:sz w:val="22"/>
        </w:rPr>
        <w:t>you</w:t>
      </w:r>
      <w:r>
        <w:rPr>
          <w:rFonts w:ascii="Arial" w:hAnsi="Arial"/>
          <w:spacing w:val="-35"/>
          <w:sz w:val="22"/>
        </w:rPr>
        <w:t> </w:t>
      </w:r>
      <w:r>
        <w:rPr>
          <w:rFonts w:ascii="Arial" w:hAnsi="Arial"/>
          <w:sz w:val="22"/>
        </w:rPr>
        <w:t>by</w:t>
      </w:r>
      <w:r>
        <w:rPr>
          <w:rFonts w:ascii="Arial" w:hAnsi="Arial"/>
          <w:spacing w:val="-36"/>
          <w:sz w:val="22"/>
        </w:rPr>
        <w:t> </w:t>
      </w:r>
      <w:r>
        <w:rPr>
          <w:rFonts w:ascii="Arial" w:hAnsi="Arial"/>
          <w:sz w:val="22"/>
        </w:rPr>
        <w:t>the</w:t>
      </w:r>
      <w:r>
        <w:rPr>
          <w:rFonts w:ascii="Arial" w:hAnsi="Arial"/>
          <w:spacing w:val="-35"/>
          <w:sz w:val="22"/>
        </w:rPr>
        <w:t> </w:t>
      </w:r>
      <w:r>
        <w:rPr>
          <w:rFonts w:ascii="Arial" w:hAnsi="Arial"/>
          <w:sz w:val="22"/>
        </w:rPr>
        <w:t>American</w:t>
      </w:r>
      <w:r>
        <w:rPr>
          <w:rFonts w:ascii="Arial" w:hAnsi="Arial"/>
          <w:spacing w:val="-33"/>
          <w:sz w:val="22"/>
        </w:rPr>
        <w:t> </w:t>
      </w:r>
      <w:r>
        <w:rPr>
          <w:rFonts w:ascii="Arial" w:hAnsi="Arial"/>
          <w:sz w:val="22"/>
        </w:rPr>
        <w:t>Theological</w:t>
      </w:r>
      <w:r>
        <w:rPr>
          <w:rFonts w:ascii="Arial" w:hAnsi="Arial"/>
          <w:spacing w:val="-30"/>
          <w:sz w:val="22"/>
        </w:rPr>
        <w:t> </w:t>
      </w:r>
      <w:r>
        <w:rPr>
          <w:rFonts w:ascii="Arial" w:hAnsi="Arial"/>
          <w:sz w:val="22"/>
        </w:rPr>
        <w:t>Library</w:t>
      </w:r>
      <w:r>
        <w:rPr>
          <w:rFonts w:ascii="Arial" w:hAnsi="Arial"/>
          <w:spacing w:val="-27"/>
          <w:sz w:val="22"/>
        </w:rPr>
        <w:t> </w:t>
      </w:r>
      <w:r>
        <w:rPr>
          <w:rFonts w:ascii="Arial" w:hAnsi="Arial"/>
          <w:sz w:val="22"/>
        </w:rPr>
        <w:t>Association</w:t>
      </w:r>
      <w:r>
        <w:rPr>
          <w:rFonts w:ascii="Arial" w:hAnsi="Arial"/>
          <w:spacing w:val="-30"/>
          <w:sz w:val="22"/>
        </w:rPr>
        <w:t> </w:t>
      </w:r>
      <w:r>
        <w:rPr>
          <w:rFonts w:ascii="Arial" w:hAnsi="Arial"/>
          <w:sz w:val="22"/>
        </w:rPr>
        <w:t>(ATLA)</w:t>
      </w:r>
      <w:r>
        <w:rPr>
          <w:rFonts w:ascii="Arial" w:hAnsi="Arial"/>
          <w:spacing w:val="-30"/>
          <w:sz w:val="22"/>
        </w:rPr>
        <w:t> </w:t>
      </w:r>
      <w:r>
        <w:rPr>
          <w:rFonts w:ascii="Arial" w:hAnsi="Arial"/>
          <w:sz w:val="22"/>
        </w:rPr>
        <w:t>in </w:t>
      </w:r>
      <w:r>
        <w:rPr>
          <w:rFonts w:ascii="Arial" w:hAnsi="Arial"/>
          <w:w w:val="95"/>
          <w:sz w:val="22"/>
        </w:rPr>
        <w:t>accordance</w:t>
      </w:r>
      <w:r>
        <w:rPr>
          <w:rFonts w:ascii="Arial" w:hAnsi="Arial"/>
          <w:spacing w:val="-11"/>
          <w:w w:val="95"/>
          <w:sz w:val="22"/>
        </w:rPr>
        <w:t> </w:t>
      </w:r>
      <w:r>
        <w:rPr>
          <w:rFonts w:ascii="Arial" w:hAnsi="Arial"/>
          <w:w w:val="95"/>
          <w:sz w:val="22"/>
        </w:rPr>
        <w:t>with</w:t>
      </w:r>
      <w:r>
        <w:rPr>
          <w:rFonts w:ascii="Arial" w:hAnsi="Arial"/>
          <w:spacing w:val="-20"/>
          <w:w w:val="95"/>
          <w:sz w:val="22"/>
        </w:rPr>
        <w:t> </w:t>
      </w:r>
      <w:r>
        <w:rPr>
          <w:rFonts w:ascii="Arial" w:hAnsi="Arial"/>
          <w:w w:val="95"/>
          <w:sz w:val="22"/>
        </w:rPr>
        <w:t>the</w:t>
      </w:r>
      <w:r>
        <w:rPr>
          <w:rFonts w:ascii="Arial" w:hAnsi="Arial"/>
          <w:spacing w:val="-21"/>
          <w:w w:val="95"/>
          <w:sz w:val="22"/>
        </w:rPr>
        <w:t> </w:t>
      </w:r>
      <w:r>
        <w:rPr>
          <w:rFonts w:ascii="Arial" w:hAnsi="Arial"/>
          <w:w w:val="95"/>
          <w:sz w:val="22"/>
        </w:rPr>
        <w:t>terms</w:t>
      </w:r>
      <w:r>
        <w:rPr>
          <w:rFonts w:ascii="Arial" w:hAnsi="Arial"/>
          <w:spacing w:val="-18"/>
          <w:w w:val="95"/>
          <w:sz w:val="22"/>
        </w:rPr>
        <w:t> </w:t>
      </w:r>
      <w:r>
        <w:rPr>
          <w:rFonts w:ascii="Arial" w:hAnsi="Arial"/>
          <w:w w:val="95"/>
          <w:sz w:val="22"/>
        </w:rPr>
        <w:t>of</w:t>
      </w:r>
      <w:r>
        <w:rPr>
          <w:rFonts w:ascii="Arial" w:hAnsi="Arial"/>
          <w:spacing w:val="-13"/>
          <w:w w:val="95"/>
          <w:sz w:val="22"/>
        </w:rPr>
        <w:t> </w:t>
      </w:r>
      <w:r>
        <w:rPr>
          <w:rFonts w:ascii="Arial" w:hAnsi="Arial"/>
          <w:w w:val="95"/>
          <w:sz w:val="22"/>
        </w:rPr>
        <w:t>ATLA’s</w:t>
      </w:r>
      <w:r>
        <w:rPr>
          <w:rFonts w:ascii="Arial" w:hAnsi="Arial"/>
          <w:spacing w:val="-19"/>
          <w:w w:val="95"/>
          <w:sz w:val="22"/>
        </w:rPr>
        <w:t> </w:t>
      </w:r>
      <w:r>
        <w:rPr>
          <w:rFonts w:ascii="Arial" w:hAnsi="Arial"/>
          <w:w w:val="95"/>
          <w:sz w:val="22"/>
        </w:rPr>
        <w:t>agreements</w:t>
      </w:r>
      <w:r>
        <w:rPr>
          <w:rFonts w:ascii="Arial" w:hAnsi="Arial"/>
          <w:spacing w:val="-11"/>
          <w:w w:val="95"/>
          <w:sz w:val="22"/>
        </w:rPr>
        <w:t> </w:t>
      </w:r>
      <w:r>
        <w:rPr>
          <w:rFonts w:ascii="Arial" w:hAnsi="Arial"/>
          <w:w w:val="95"/>
          <w:sz w:val="22"/>
        </w:rPr>
        <w:t>with</w:t>
      </w:r>
      <w:r>
        <w:rPr>
          <w:rFonts w:ascii="Arial" w:hAnsi="Arial"/>
          <w:spacing w:val="-19"/>
          <w:w w:val="95"/>
          <w:sz w:val="22"/>
        </w:rPr>
        <w:t> </w:t>
      </w:r>
      <w:r>
        <w:rPr>
          <w:rFonts w:ascii="Arial" w:hAnsi="Arial"/>
          <w:w w:val="95"/>
          <w:sz w:val="22"/>
        </w:rPr>
        <w:t>the</w:t>
      </w:r>
      <w:r>
        <w:rPr>
          <w:rFonts w:ascii="Arial" w:hAnsi="Arial"/>
          <w:spacing w:val="-22"/>
          <w:w w:val="95"/>
          <w:sz w:val="22"/>
        </w:rPr>
        <w:t> </w:t>
      </w:r>
      <w:r>
        <w:rPr>
          <w:rFonts w:ascii="Arial" w:hAnsi="Arial"/>
          <w:w w:val="95"/>
          <w:sz w:val="22"/>
        </w:rPr>
        <w:t>copyright</w:t>
      </w:r>
      <w:r>
        <w:rPr>
          <w:rFonts w:ascii="Arial" w:hAnsi="Arial"/>
          <w:spacing w:val="-18"/>
          <w:w w:val="95"/>
          <w:sz w:val="22"/>
        </w:rPr>
        <w:t> </w:t>
      </w:r>
      <w:r>
        <w:rPr>
          <w:rFonts w:ascii="Arial" w:hAnsi="Arial"/>
          <w:w w:val="95"/>
          <w:sz w:val="22"/>
        </w:rPr>
        <w:t>holder</w:t>
      </w:r>
      <w:r>
        <w:rPr>
          <w:rFonts w:ascii="Arial" w:hAnsi="Arial"/>
          <w:spacing w:val="-11"/>
          <w:w w:val="95"/>
          <w:sz w:val="22"/>
        </w:rPr>
        <w:t> </w:t>
      </w:r>
      <w:r>
        <w:rPr>
          <w:rFonts w:ascii="Arial" w:hAnsi="Arial"/>
          <w:w w:val="95"/>
          <w:sz w:val="22"/>
        </w:rPr>
        <w:t>or</w:t>
      </w:r>
      <w:r>
        <w:rPr>
          <w:rFonts w:ascii="Arial" w:hAnsi="Arial"/>
          <w:spacing w:val="-18"/>
          <w:w w:val="95"/>
          <w:sz w:val="22"/>
        </w:rPr>
        <w:t> </w:t>
      </w:r>
      <w:r>
        <w:rPr>
          <w:rFonts w:ascii="Arial" w:hAnsi="Arial"/>
          <w:w w:val="95"/>
          <w:sz w:val="22"/>
        </w:rPr>
        <w:t>authorized</w:t>
      </w:r>
      <w:r>
        <w:rPr>
          <w:rFonts w:ascii="Arial" w:hAnsi="Arial"/>
          <w:spacing w:val="-9"/>
          <w:w w:val="95"/>
          <w:sz w:val="22"/>
        </w:rPr>
        <w:t> </w:t>
      </w:r>
      <w:r>
        <w:rPr>
          <w:rFonts w:ascii="Arial" w:hAnsi="Arial"/>
          <w:w w:val="95"/>
          <w:sz w:val="22"/>
        </w:rPr>
        <w:t>distributor</w:t>
      </w:r>
      <w:r>
        <w:rPr>
          <w:rFonts w:ascii="Arial" w:hAnsi="Arial"/>
          <w:spacing w:val="-12"/>
          <w:w w:val="95"/>
          <w:sz w:val="22"/>
        </w:rPr>
        <w:t> </w:t>
      </w:r>
      <w:r>
        <w:rPr>
          <w:rFonts w:ascii="Arial" w:hAnsi="Arial"/>
          <w:w w:val="95"/>
          <w:sz w:val="22"/>
        </w:rPr>
        <w:t>of </w:t>
      </w:r>
      <w:r>
        <w:rPr>
          <w:rFonts w:ascii="Arial" w:hAnsi="Arial"/>
          <w:sz w:val="22"/>
        </w:rPr>
        <w:t>the</w:t>
      </w:r>
      <w:r>
        <w:rPr>
          <w:rFonts w:ascii="Arial" w:hAnsi="Arial"/>
          <w:spacing w:val="-40"/>
          <w:sz w:val="22"/>
        </w:rPr>
        <w:t> </w:t>
      </w:r>
      <w:r>
        <w:rPr>
          <w:rFonts w:ascii="Arial" w:hAnsi="Arial"/>
          <w:sz w:val="22"/>
        </w:rPr>
        <w:t>materials,</w:t>
      </w:r>
      <w:r>
        <w:rPr>
          <w:rFonts w:ascii="Arial" w:hAnsi="Arial"/>
          <w:spacing w:val="-37"/>
          <w:sz w:val="22"/>
        </w:rPr>
        <w:t> </w:t>
      </w:r>
      <w:r>
        <w:rPr>
          <w:rFonts w:ascii="Arial" w:hAnsi="Arial"/>
          <w:sz w:val="22"/>
        </w:rPr>
        <w:t>as</w:t>
      </w:r>
      <w:r>
        <w:rPr>
          <w:rFonts w:ascii="Arial" w:hAnsi="Arial"/>
          <w:spacing w:val="-43"/>
          <w:sz w:val="22"/>
        </w:rPr>
        <w:t> </w:t>
      </w:r>
      <w:r>
        <w:rPr>
          <w:rFonts w:ascii="Arial" w:hAnsi="Arial"/>
          <w:sz w:val="22"/>
        </w:rPr>
        <w:t>applicable.</w:t>
      </w:r>
      <w:r>
        <w:rPr>
          <w:rFonts w:ascii="Arial" w:hAnsi="Arial"/>
          <w:spacing w:val="-34"/>
          <w:sz w:val="22"/>
        </w:rPr>
        <w:t> </w:t>
      </w:r>
      <w:r>
        <w:rPr>
          <w:rFonts w:ascii="Arial" w:hAnsi="Arial"/>
          <w:sz w:val="22"/>
        </w:rPr>
        <w:t>In</w:t>
      </w:r>
      <w:r>
        <w:rPr>
          <w:rFonts w:ascii="Arial" w:hAnsi="Arial"/>
          <w:spacing w:val="-39"/>
          <w:sz w:val="22"/>
        </w:rPr>
        <w:t> </w:t>
      </w:r>
      <w:r>
        <w:rPr>
          <w:rFonts w:ascii="Arial" w:hAnsi="Arial"/>
          <w:sz w:val="22"/>
        </w:rPr>
        <w:t>some</w:t>
      </w:r>
      <w:r>
        <w:rPr>
          <w:rFonts w:ascii="Arial" w:hAnsi="Arial"/>
          <w:spacing w:val="-39"/>
          <w:sz w:val="22"/>
        </w:rPr>
        <w:t> </w:t>
      </w:r>
      <w:r>
        <w:rPr>
          <w:rFonts w:ascii="Arial" w:hAnsi="Arial"/>
          <w:sz w:val="22"/>
        </w:rPr>
        <w:t>cases,</w:t>
      </w:r>
      <w:r>
        <w:rPr>
          <w:rFonts w:ascii="Arial" w:hAnsi="Arial"/>
          <w:spacing w:val="-34"/>
          <w:sz w:val="22"/>
        </w:rPr>
        <w:t> </w:t>
      </w:r>
      <w:r>
        <w:rPr>
          <w:rFonts w:ascii="Arial" w:hAnsi="Arial"/>
          <w:sz w:val="22"/>
        </w:rPr>
        <w:t>ATLA</w:t>
      </w:r>
      <w:r>
        <w:rPr>
          <w:rFonts w:ascii="Arial" w:hAnsi="Arial"/>
          <w:spacing w:val="-34"/>
          <w:sz w:val="22"/>
        </w:rPr>
        <w:t> </w:t>
      </w:r>
      <w:r>
        <w:rPr>
          <w:rFonts w:ascii="Arial" w:hAnsi="Arial"/>
          <w:sz w:val="22"/>
        </w:rPr>
        <w:t>may</w:t>
      </w:r>
      <w:r>
        <w:rPr>
          <w:rFonts w:ascii="Arial" w:hAnsi="Arial"/>
          <w:spacing w:val="-37"/>
          <w:sz w:val="22"/>
        </w:rPr>
        <w:t> </w:t>
      </w:r>
      <w:r>
        <w:rPr>
          <w:rFonts w:ascii="Arial" w:hAnsi="Arial"/>
          <w:sz w:val="22"/>
        </w:rPr>
        <w:t>be</w:t>
      </w:r>
      <w:r>
        <w:rPr>
          <w:rFonts w:ascii="Arial" w:hAnsi="Arial"/>
          <w:spacing w:val="-38"/>
          <w:sz w:val="22"/>
        </w:rPr>
        <w:t> </w:t>
      </w:r>
      <w:r>
        <w:rPr>
          <w:rFonts w:ascii="Arial" w:hAnsi="Arial"/>
          <w:sz w:val="22"/>
        </w:rPr>
        <w:t>the</w:t>
      </w:r>
      <w:r>
        <w:rPr>
          <w:rFonts w:ascii="Arial" w:hAnsi="Arial"/>
          <w:spacing w:val="-40"/>
          <w:sz w:val="22"/>
        </w:rPr>
        <w:t> </w:t>
      </w:r>
      <w:r>
        <w:rPr>
          <w:rFonts w:ascii="Arial" w:hAnsi="Arial"/>
          <w:sz w:val="22"/>
        </w:rPr>
        <w:t>copyright</w:t>
      </w:r>
      <w:r>
        <w:rPr>
          <w:rFonts w:ascii="Arial" w:hAnsi="Arial"/>
          <w:spacing w:val="-32"/>
          <w:sz w:val="22"/>
        </w:rPr>
        <w:t> </w:t>
      </w:r>
      <w:r>
        <w:rPr>
          <w:rFonts w:ascii="Arial" w:hAnsi="Arial"/>
          <w:sz w:val="22"/>
        </w:rPr>
        <w:t>holder</w:t>
      </w:r>
      <w:r>
        <w:rPr>
          <w:rFonts w:ascii="Arial" w:hAnsi="Arial"/>
          <w:spacing w:val="-31"/>
          <w:sz w:val="22"/>
        </w:rPr>
        <w:t> </w:t>
      </w:r>
      <w:r>
        <w:rPr>
          <w:rFonts w:ascii="Arial" w:hAnsi="Arial"/>
          <w:sz w:val="22"/>
        </w:rPr>
        <w:t>of</w:t>
      </w:r>
      <w:r>
        <w:rPr>
          <w:rFonts w:ascii="Arial" w:hAnsi="Arial"/>
          <w:spacing w:val="-39"/>
          <w:sz w:val="22"/>
        </w:rPr>
        <w:t> </w:t>
      </w:r>
      <w:r>
        <w:rPr>
          <w:rFonts w:ascii="Arial" w:hAnsi="Arial"/>
          <w:sz w:val="22"/>
        </w:rPr>
        <w:t>these</w:t>
      </w:r>
      <w:r>
        <w:rPr>
          <w:rFonts w:ascii="Arial" w:hAnsi="Arial"/>
          <w:spacing w:val="-36"/>
          <w:sz w:val="22"/>
        </w:rPr>
        <w:t> </w:t>
      </w:r>
      <w:r>
        <w:rPr>
          <w:rFonts w:ascii="Arial" w:hAnsi="Arial"/>
          <w:sz w:val="22"/>
        </w:rPr>
        <w:t>materials.</w:t>
      </w:r>
    </w:p>
    <w:p>
      <w:pPr>
        <w:pStyle w:val="BodyText"/>
        <w:rPr>
          <w:rFonts w:ascii="Arial"/>
          <w:sz w:val="25"/>
        </w:rPr>
      </w:pPr>
    </w:p>
    <w:p>
      <w:pPr>
        <w:spacing w:line="276" w:lineRule="auto" w:before="0"/>
        <w:ind w:left="119" w:right="62" w:hanging="1"/>
        <w:jc w:val="left"/>
        <w:rPr>
          <w:rFonts w:ascii="Arial" w:hAnsi="Arial"/>
          <w:sz w:val="22"/>
        </w:rPr>
      </w:pPr>
      <w:r>
        <w:rPr>
          <w:rFonts w:ascii="Arial" w:hAnsi="Arial"/>
          <w:w w:val="95"/>
          <w:sz w:val="22"/>
        </w:rPr>
        <w:t>You</w:t>
      </w:r>
      <w:r>
        <w:rPr>
          <w:rFonts w:ascii="Arial" w:hAnsi="Arial"/>
          <w:spacing w:val="-19"/>
          <w:w w:val="95"/>
          <w:sz w:val="22"/>
        </w:rPr>
        <w:t> </w:t>
      </w:r>
      <w:r>
        <w:rPr>
          <w:rFonts w:ascii="Arial" w:hAnsi="Arial"/>
          <w:w w:val="95"/>
          <w:sz w:val="22"/>
        </w:rPr>
        <w:t>may</w:t>
      </w:r>
      <w:r>
        <w:rPr>
          <w:rFonts w:ascii="Arial" w:hAnsi="Arial"/>
          <w:spacing w:val="-15"/>
          <w:w w:val="95"/>
          <w:sz w:val="22"/>
        </w:rPr>
        <w:t> </w:t>
      </w:r>
      <w:r>
        <w:rPr>
          <w:rFonts w:ascii="Arial" w:hAnsi="Arial"/>
          <w:w w:val="95"/>
          <w:sz w:val="22"/>
        </w:rPr>
        <w:t>download,</w:t>
      </w:r>
      <w:r>
        <w:rPr>
          <w:rFonts w:ascii="Arial" w:hAnsi="Arial"/>
          <w:spacing w:val="-16"/>
          <w:w w:val="95"/>
          <w:sz w:val="22"/>
        </w:rPr>
        <w:t> </w:t>
      </w:r>
      <w:r>
        <w:rPr>
          <w:rFonts w:ascii="Arial" w:hAnsi="Arial"/>
          <w:w w:val="95"/>
          <w:sz w:val="22"/>
        </w:rPr>
        <w:t>print,</w:t>
      </w:r>
      <w:r>
        <w:rPr>
          <w:rFonts w:ascii="Arial" w:hAnsi="Arial"/>
          <w:spacing w:val="-25"/>
          <w:w w:val="95"/>
          <w:sz w:val="22"/>
        </w:rPr>
        <w:t> </w:t>
      </w:r>
      <w:r>
        <w:rPr>
          <w:rFonts w:ascii="Arial" w:hAnsi="Arial"/>
          <w:w w:val="95"/>
          <w:sz w:val="22"/>
        </w:rPr>
        <w:t>and</w:t>
      </w:r>
      <w:r>
        <w:rPr>
          <w:rFonts w:ascii="Arial" w:hAnsi="Arial"/>
          <w:spacing w:val="-18"/>
          <w:w w:val="95"/>
          <w:sz w:val="22"/>
        </w:rPr>
        <w:t> </w:t>
      </w:r>
      <w:r>
        <w:rPr>
          <w:rFonts w:ascii="Arial" w:hAnsi="Arial"/>
          <w:w w:val="95"/>
          <w:sz w:val="22"/>
        </w:rPr>
        <w:t>share</w:t>
      </w:r>
      <w:r>
        <w:rPr>
          <w:rFonts w:ascii="Arial" w:hAnsi="Arial"/>
          <w:spacing w:val="-17"/>
          <w:w w:val="95"/>
          <w:sz w:val="22"/>
        </w:rPr>
        <w:t> </w:t>
      </w:r>
      <w:r>
        <w:rPr>
          <w:rFonts w:ascii="Arial" w:hAnsi="Arial"/>
          <w:w w:val="95"/>
          <w:sz w:val="22"/>
        </w:rPr>
        <w:t>these</w:t>
      </w:r>
      <w:r>
        <w:rPr>
          <w:rFonts w:ascii="Arial" w:hAnsi="Arial"/>
          <w:spacing w:val="-16"/>
          <w:w w:val="95"/>
          <w:sz w:val="22"/>
        </w:rPr>
        <w:t> </w:t>
      </w:r>
      <w:r>
        <w:rPr>
          <w:rFonts w:ascii="Arial" w:hAnsi="Arial"/>
          <w:w w:val="95"/>
          <w:sz w:val="22"/>
        </w:rPr>
        <w:t>materials</w:t>
      </w:r>
      <w:r>
        <w:rPr>
          <w:rFonts w:ascii="Arial" w:hAnsi="Arial"/>
          <w:spacing w:val="-10"/>
          <w:w w:val="95"/>
          <w:sz w:val="22"/>
        </w:rPr>
        <w:t> </w:t>
      </w:r>
      <w:r>
        <w:rPr>
          <w:rFonts w:ascii="Arial" w:hAnsi="Arial"/>
          <w:w w:val="95"/>
          <w:sz w:val="22"/>
        </w:rPr>
        <w:t>for</w:t>
      </w:r>
      <w:r>
        <w:rPr>
          <w:rFonts w:ascii="Arial" w:hAnsi="Arial"/>
          <w:spacing w:val="-17"/>
          <w:w w:val="95"/>
          <w:sz w:val="22"/>
        </w:rPr>
        <w:t> </w:t>
      </w:r>
      <w:r>
        <w:rPr>
          <w:rFonts w:ascii="Arial" w:hAnsi="Arial"/>
          <w:w w:val="95"/>
          <w:sz w:val="22"/>
        </w:rPr>
        <w:t>your</w:t>
      </w:r>
      <w:r>
        <w:rPr>
          <w:rFonts w:ascii="Arial" w:hAnsi="Arial"/>
          <w:spacing w:val="-12"/>
          <w:w w:val="95"/>
          <w:sz w:val="22"/>
        </w:rPr>
        <w:t> </w:t>
      </w:r>
      <w:r>
        <w:rPr>
          <w:rFonts w:ascii="Arial" w:hAnsi="Arial"/>
          <w:w w:val="95"/>
          <w:sz w:val="22"/>
        </w:rPr>
        <w:t>individual</w:t>
      </w:r>
      <w:r>
        <w:rPr>
          <w:rFonts w:ascii="Arial" w:hAnsi="Arial"/>
          <w:spacing w:val="-8"/>
          <w:w w:val="95"/>
          <w:sz w:val="22"/>
        </w:rPr>
        <w:t> </w:t>
      </w:r>
      <w:r>
        <w:rPr>
          <w:rFonts w:ascii="Arial" w:hAnsi="Arial"/>
          <w:w w:val="95"/>
          <w:sz w:val="22"/>
        </w:rPr>
        <w:t>use</w:t>
      </w:r>
      <w:r>
        <w:rPr>
          <w:rFonts w:ascii="Arial" w:hAnsi="Arial"/>
          <w:spacing w:val="-13"/>
          <w:w w:val="95"/>
          <w:sz w:val="22"/>
        </w:rPr>
        <w:t> </w:t>
      </w:r>
      <w:r>
        <w:rPr>
          <w:rFonts w:ascii="Arial" w:hAnsi="Arial"/>
          <w:w w:val="95"/>
          <w:sz w:val="22"/>
        </w:rPr>
        <w:t>as</w:t>
      </w:r>
      <w:r>
        <w:rPr>
          <w:rFonts w:ascii="Arial" w:hAnsi="Arial"/>
          <w:spacing w:val="-20"/>
          <w:w w:val="95"/>
          <w:sz w:val="22"/>
        </w:rPr>
        <w:t> </w:t>
      </w:r>
      <w:r>
        <w:rPr>
          <w:rFonts w:ascii="Arial" w:hAnsi="Arial"/>
          <w:w w:val="95"/>
          <w:sz w:val="22"/>
        </w:rPr>
        <w:t>may</w:t>
      </w:r>
      <w:r>
        <w:rPr>
          <w:rFonts w:ascii="Arial" w:hAnsi="Arial"/>
          <w:spacing w:val="-17"/>
          <w:w w:val="95"/>
          <w:sz w:val="22"/>
        </w:rPr>
        <w:t> </w:t>
      </w:r>
      <w:r>
        <w:rPr>
          <w:rFonts w:ascii="Arial" w:hAnsi="Arial"/>
          <w:w w:val="95"/>
          <w:sz w:val="22"/>
        </w:rPr>
        <w:t>be</w:t>
      </w:r>
      <w:r>
        <w:rPr>
          <w:rFonts w:ascii="Arial" w:hAnsi="Arial"/>
          <w:spacing w:val="-24"/>
          <w:w w:val="95"/>
          <w:sz w:val="22"/>
        </w:rPr>
        <w:t> </w:t>
      </w:r>
      <w:r>
        <w:rPr>
          <w:rFonts w:ascii="Arial" w:hAnsi="Arial"/>
          <w:w w:val="95"/>
          <w:sz w:val="22"/>
        </w:rPr>
        <w:t>permitted</w:t>
      </w:r>
      <w:r>
        <w:rPr>
          <w:rFonts w:ascii="Arial" w:hAnsi="Arial"/>
          <w:spacing w:val="-12"/>
          <w:w w:val="95"/>
          <w:sz w:val="22"/>
        </w:rPr>
        <w:t> </w:t>
      </w:r>
      <w:r>
        <w:rPr>
          <w:rFonts w:ascii="Arial" w:hAnsi="Arial"/>
          <w:w w:val="95"/>
          <w:sz w:val="22"/>
        </w:rPr>
        <w:t>by</w:t>
      </w:r>
      <w:r>
        <w:rPr>
          <w:rFonts w:ascii="Arial" w:hAnsi="Arial"/>
          <w:spacing w:val="-17"/>
          <w:w w:val="95"/>
          <w:sz w:val="22"/>
        </w:rPr>
        <w:t> </w:t>
      </w:r>
      <w:r>
        <w:rPr>
          <w:rFonts w:ascii="Arial" w:hAnsi="Arial"/>
          <w:w w:val="95"/>
          <w:sz w:val="22"/>
        </w:rPr>
        <w:t>the applicable</w:t>
      </w:r>
      <w:r>
        <w:rPr>
          <w:rFonts w:ascii="Arial" w:hAnsi="Arial"/>
          <w:spacing w:val="-24"/>
          <w:w w:val="95"/>
          <w:sz w:val="22"/>
        </w:rPr>
        <w:t> </w:t>
      </w:r>
      <w:r>
        <w:rPr>
          <w:rFonts w:ascii="Arial" w:hAnsi="Arial"/>
          <w:w w:val="95"/>
          <w:sz w:val="22"/>
        </w:rPr>
        <w:t>agreements</w:t>
      </w:r>
      <w:r>
        <w:rPr>
          <w:rFonts w:ascii="Arial" w:hAnsi="Arial"/>
          <w:spacing w:val="-25"/>
          <w:w w:val="95"/>
          <w:sz w:val="22"/>
        </w:rPr>
        <w:t> </w:t>
      </w:r>
      <w:r>
        <w:rPr>
          <w:rFonts w:ascii="Arial" w:hAnsi="Arial"/>
          <w:w w:val="95"/>
          <w:sz w:val="22"/>
        </w:rPr>
        <w:t>among</w:t>
      </w:r>
      <w:r>
        <w:rPr>
          <w:rFonts w:ascii="Arial" w:hAnsi="Arial"/>
          <w:spacing w:val="-33"/>
          <w:w w:val="95"/>
          <w:sz w:val="22"/>
        </w:rPr>
        <w:t> </w:t>
      </w:r>
      <w:r>
        <w:rPr>
          <w:rFonts w:ascii="Arial" w:hAnsi="Arial"/>
          <w:w w:val="95"/>
          <w:sz w:val="22"/>
        </w:rPr>
        <w:t>the</w:t>
      </w:r>
      <w:r>
        <w:rPr>
          <w:rFonts w:ascii="Arial" w:hAnsi="Arial"/>
          <w:spacing w:val="-35"/>
          <w:w w:val="95"/>
          <w:sz w:val="22"/>
        </w:rPr>
        <w:t> </w:t>
      </w:r>
      <w:r>
        <w:rPr>
          <w:rFonts w:ascii="Arial" w:hAnsi="Arial"/>
          <w:w w:val="95"/>
          <w:sz w:val="22"/>
        </w:rPr>
        <w:t>copyright</w:t>
      </w:r>
      <w:r>
        <w:rPr>
          <w:rFonts w:ascii="Arial" w:hAnsi="Arial"/>
          <w:spacing w:val="-23"/>
          <w:w w:val="95"/>
          <w:sz w:val="22"/>
        </w:rPr>
        <w:t> </w:t>
      </w:r>
      <w:r>
        <w:rPr>
          <w:rFonts w:ascii="Arial" w:hAnsi="Arial"/>
          <w:w w:val="95"/>
          <w:sz w:val="22"/>
        </w:rPr>
        <w:t>holder,</w:t>
      </w:r>
      <w:r>
        <w:rPr>
          <w:rFonts w:ascii="Arial" w:hAnsi="Arial"/>
          <w:spacing w:val="-31"/>
          <w:w w:val="95"/>
          <w:sz w:val="22"/>
        </w:rPr>
        <w:t> </w:t>
      </w:r>
      <w:r>
        <w:rPr>
          <w:rFonts w:ascii="Arial" w:hAnsi="Arial"/>
          <w:w w:val="95"/>
          <w:sz w:val="22"/>
        </w:rPr>
        <w:t>distributors,</w:t>
      </w:r>
      <w:r>
        <w:rPr>
          <w:rFonts w:ascii="Arial" w:hAnsi="Arial"/>
          <w:spacing w:val="-28"/>
          <w:w w:val="95"/>
          <w:sz w:val="22"/>
        </w:rPr>
        <w:t> </w:t>
      </w:r>
      <w:r>
        <w:rPr>
          <w:rFonts w:ascii="Arial" w:hAnsi="Arial"/>
          <w:w w:val="95"/>
          <w:sz w:val="22"/>
        </w:rPr>
        <w:t>licensors,</w:t>
      </w:r>
      <w:r>
        <w:rPr>
          <w:rFonts w:ascii="Arial" w:hAnsi="Arial"/>
          <w:spacing w:val="-29"/>
          <w:w w:val="95"/>
          <w:sz w:val="22"/>
        </w:rPr>
        <w:t> </w:t>
      </w:r>
      <w:r>
        <w:rPr>
          <w:rFonts w:ascii="Arial" w:hAnsi="Arial"/>
          <w:w w:val="95"/>
          <w:sz w:val="22"/>
        </w:rPr>
        <w:t>licensees,</w:t>
      </w:r>
      <w:r>
        <w:rPr>
          <w:rFonts w:ascii="Arial" w:hAnsi="Arial"/>
          <w:spacing w:val="-30"/>
          <w:w w:val="95"/>
          <w:sz w:val="22"/>
        </w:rPr>
        <w:t> </w:t>
      </w:r>
      <w:r>
        <w:rPr>
          <w:rFonts w:ascii="Arial" w:hAnsi="Arial"/>
          <w:w w:val="95"/>
          <w:sz w:val="22"/>
        </w:rPr>
        <w:t>and</w:t>
      </w:r>
      <w:r>
        <w:rPr>
          <w:rFonts w:ascii="Arial" w:hAnsi="Arial"/>
          <w:spacing w:val="-31"/>
          <w:w w:val="95"/>
          <w:sz w:val="22"/>
        </w:rPr>
        <w:t> </w:t>
      </w:r>
      <w:r>
        <w:rPr>
          <w:rFonts w:ascii="Arial" w:hAnsi="Arial"/>
          <w:w w:val="95"/>
          <w:sz w:val="22"/>
        </w:rPr>
        <w:t>users</w:t>
      </w:r>
      <w:r>
        <w:rPr>
          <w:rFonts w:ascii="Arial" w:hAnsi="Arial"/>
          <w:spacing w:val="-32"/>
          <w:w w:val="95"/>
          <w:sz w:val="22"/>
        </w:rPr>
        <w:t> </w:t>
      </w:r>
      <w:r>
        <w:rPr>
          <w:rFonts w:ascii="Arial" w:hAnsi="Arial"/>
          <w:w w:val="95"/>
          <w:sz w:val="22"/>
        </w:rPr>
        <w:t>of</w:t>
      </w:r>
      <w:r>
        <w:rPr>
          <w:rFonts w:ascii="Arial" w:hAnsi="Arial"/>
          <w:spacing w:val="-30"/>
          <w:w w:val="95"/>
          <w:sz w:val="22"/>
        </w:rPr>
        <w:t> </w:t>
      </w:r>
      <w:r>
        <w:rPr>
          <w:rFonts w:ascii="Arial" w:hAnsi="Arial"/>
          <w:w w:val="95"/>
          <w:sz w:val="22"/>
        </w:rPr>
        <w:t>these materials</w:t>
      </w:r>
      <w:r>
        <w:rPr>
          <w:rFonts w:ascii="Arial" w:hAnsi="Arial"/>
          <w:spacing w:val="-9"/>
          <w:w w:val="95"/>
          <w:sz w:val="22"/>
        </w:rPr>
        <w:t> </w:t>
      </w:r>
      <w:r>
        <w:rPr>
          <w:rFonts w:ascii="Arial" w:hAnsi="Arial"/>
          <w:w w:val="95"/>
          <w:sz w:val="22"/>
        </w:rPr>
        <w:t>(including,</w:t>
      </w:r>
      <w:r>
        <w:rPr>
          <w:rFonts w:ascii="Arial" w:hAnsi="Arial"/>
          <w:spacing w:val="-17"/>
          <w:w w:val="95"/>
          <w:sz w:val="22"/>
        </w:rPr>
        <w:t> </w:t>
      </w:r>
      <w:r>
        <w:rPr>
          <w:rFonts w:ascii="Arial" w:hAnsi="Arial"/>
          <w:w w:val="95"/>
          <w:sz w:val="22"/>
        </w:rPr>
        <w:t>for</w:t>
      </w:r>
      <w:r>
        <w:rPr>
          <w:rFonts w:ascii="Arial" w:hAnsi="Arial"/>
          <w:spacing w:val="-17"/>
          <w:w w:val="95"/>
          <w:sz w:val="22"/>
        </w:rPr>
        <w:t> </w:t>
      </w:r>
      <w:r>
        <w:rPr>
          <w:rFonts w:ascii="Arial" w:hAnsi="Arial"/>
          <w:w w:val="95"/>
          <w:sz w:val="22"/>
        </w:rPr>
        <w:t>example,</w:t>
      </w:r>
      <w:r>
        <w:rPr>
          <w:rFonts w:ascii="Arial" w:hAnsi="Arial"/>
          <w:spacing w:val="-17"/>
          <w:w w:val="95"/>
          <w:sz w:val="22"/>
        </w:rPr>
        <w:t> </w:t>
      </w:r>
      <w:r>
        <w:rPr>
          <w:rFonts w:ascii="Arial" w:hAnsi="Arial"/>
          <w:w w:val="95"/>
          <w:sz w:val="22"/>
        </w:rPr>
        <w:t>any</w:t>
      </w:r>
      <w:r>
        <w:rPr>
          <w:rFonts w:ascii="Arial" w:hAnsi="Arial"/>
          <w:spacing w:val="-13"/>
          <w:w w:val="95"/>
          <w:sz w:val="22"/>
        </w:rPr>
        <w:t> </w:t>
      </w:r>
      <w:r>
        <w:rPr>
          <w:rFonts w:ascii="Arial" w:hAnsi="Arial"/>
          <w:w w:val="95"/>
          <w:sz w:val="22"/>
        </w:rPr>
        <w:t>agreements</w:t>
      </w:r>
      <w:r>
        <w:rPr>
          <w:rFonts w:ascii="Arial" w:hAnsi="Arial"/>
          <w:spacing w:val="-12"/>
          <w:w w:val="95"/>
          <w:sz w:val="22"/>
        </w:rPr>
        <w:t> </w:t>
      </w:r>
      <w:r>
        <w:rPr>
          <w:rFonts w:ascii="Arial" w:hAnsi="Arial"/>
          <w:w w:val="95"/>
          <w:sz w:val="22"/>
        </w:rPr>
        <w:t>entered</w:t>
      </w:r>
      <w:r>
        <w:rPr>
          <w:rFonts w:ascii="Arial" w:hAnsi="Arial"/>
          <w:spacing w:val="-14"/>
          <w:w w:val="95"/>
          <w:sz w:val="22"/>
        </w:rPr>
        <w:t> </w:t>
      </w:r>
      <w:r>
        <w:rPr>
          <w:rFonts w:ascii="Arial" w:hAnsi="Arial"/>
          <w:w w:val="95"/>
          <w:sz w:val="22"/>
        </w:rPr>
        <w:t>into</w:t>
      </w:r>
      <w:r>
        <w:rPr>
          <w:rFonts w:ascii="Arial" w:hAnsi="Arial"/>
          <w:spacing w:val="-14"/>
          <w:w w:val="95"/>
          <w:sz w:val="22"/>
        </w:rPr>
        <w:t> </w:t>
      </w:r>
      <w:r>
        <w:rPr>
          <w:rFonts w:ascii="Arial" w:hAnsi="Arial"/>
          <w:w w:val="95"/>
          <w:sz w:val="22"/>
        </w:rPr>
        <w:t>by</w:t>
      </w:r>
      <w:r>
        <w:rPr>
          <w:rFonts w:ascii="Arial" w:hAnsi="Arial"/>
          <w:spacing w:val="-16"/>
          <w:w w:val="95"/>
          <w:sz w:val="22"/>
        </w:rPr>
        <w:t> </w:t>
      </w:r>
      <w:r>
        <w:rPr>
          <w:rFonts w:ascii="Arial" w:hAnsi="Arial"/>
          <w:w w:val="95"/>
          <w:sz w:val="22"/>
        </w:rPr>
        <w:t>the</w:t>
      </w:r>
      <w:r>
        <w:rPr>
          <w:rFonts w:ascii="Arial" w:hAnsi="Arial"/>
          <w:spacing w:val="-18"/>
          <w:w w:val="95"/>
          <w:sz w:val="22"/>
        </w:rPr>
        <w:t> </w:t>
      </w:r>
      <w:r>
        <w:rPr>
          <w:rFonts w:ascii="Arial" w:hAnsi="Arial"/>
          <w:w w:val="95"/>
          <w:sz w:val="22"/>
        </w:rPr>
        <w:t>institution</w:t>
      </w:r>
      <w:r>
        <w:rPr>
          <w:rFonts w:ascii="Arial" w:hAnsi="Arial"/>
          <w:spacing w:val="-17"/>
          <w:w w:val="95"/>
          <w:sz w:val="22"/>
        </w:rPr>
        <w:t> </w:t>
      </w:r>
      <w:r>
        <w:rPr>
          <w:rFonts w:ascii="Arial" w:hAnsi="Arial"/>
          <w:w w:val="95"/>
          <w:sz w:val="22"/>
        </w:rPr>
        <w:t>or</w:t>
      </w:r>
      <w:r>
        <w:rPr>
          <w:rFonts w:ascii="Arial" w:hAnsi="Arial"/>
          <w:spacing w:val="-17"/>
          <w:w w:val="95"/>
          <w:sz w:val="22"/>
        </w:rPr>
        <w:t> </w:t>
      </w:r>
      <w:r>
        <w:rPr>
          <w:rFonts w:ascii="Arial" w:hAnsi="Arial"/>
          <w:w w:val="95"/>
          <w:sz w:val="22"/>
        </w:rPr>
        <w:t>other</w:t>
      </w:r>
      <w:r>
        <w:rPr>
          <w:rFonts w:ascii="Arial" w:hAnsi="Arial"/>
          <w:spacing w:val="-9"/>
          <w:w w:val="95"/>
          <w:sz w:val="22"/>
        </w:rPr>
        <w:t> </w:t>
      </w:r>
      <w:r>
        <w:rPr>
          <w:rFonts w:ascii="Arial" w:hAnsi="Arial"/>
          <w:w w:val="95"/>
          <w:sz w:val="22"/>
        </w:rPr>
        <w:t>organization from</w:t>
      </w:r>
      <w:r>
        <w:rPr>
          <w:rFonts w:ascii="Arial" w:hAnsi="Arial"/>
          <w:spacing w:val="-14"/>
          <w:w w:val="95"/>
          <w:sz w:val="22"/>
        </w:rPr>
        <w:t> </w:t>
      </w:r>
      <w:r>
        <w:rPr>
          <w:rFonts w:ascii="Arial" w:hAnsi="Arial"/>
          <w:w w:val="95"/>
          <w:sz w:val="22"/>
        </w:rPr>
        <w:t>which</w:t>
      </w:r>
      <w:r>
        <w:rPr>
          <w:rFonts w:ascii="Arial" w:hAnsi="Arial"/>
          <w:spacing w:val="-21"/>
          <w:w w:val="95"/>
          <w:sz w:val="22"/>
        </w:rPr>
        <w:t> </w:t>
      </w:r>
      <w:r>
        <w:rPr>
          <w:rFonts w:ascii="Arial" w:hAnsi="Arial"/>
          <w:w w:val="95"/>
          <w:sz w:val="22"/>
        </w:rPr>
        <w:t>you</w:t>
      </w:r>
      <w:r>
        <w:rPr>
          <w:rFonts w:ascii="Arial" w:hAnsi="Arial"/>
          <w:spacing w:val="-22"/>
          <w:w w:val="95"/>
          <w:sz w:val="22"/>
        </w:rPr>
        <w:t> </w:t>
      </w:r>
      <w:r>
        <w:rPr>
          <w:rFonts w:ascii="Arial" w:hAnsi="Arial"/>
          <w:w w:val="95"/>
          <w:sz w:val="22"/>
        </w:rPr>
        <w:t>obtained</w:t>
      </w:r>
      <w:r>
        <w:rPr>
          <w:rFonts w:ascii="Arial" w:hAnsi="Arial"/>
          <w:spacing w:val="-15"/>
          <w:w w:val="95"/>
          <w:sz w:val="22"/>
        </w:rPr>
        <w:t> </w:t>
      </w:r>
      <w:r>
        <w:rPr>
          <w:rFonts w:ascii="Arial" w:hAnsi="Arial"/>
          <w:w w:val="95"/>
          <w:sz w:val="22"/>
        </w:rPr>
        <w:t>these</w:t>
      </w:r>
      <w:r>
        <w:rPr>
          <w:rFonts w:ascii="Arial" w:hAnsi="Arial"/>
          <w:spacing w:val="-19"/>
          <w:w w:val="95"/>
          <w:sz w:val="22"/>
        </w:rPr>
        <w:t> </w:t>
      </w:r>
      <w:r>
        <w:rPr>
          <w:rFonts w:ascii="Arial" w:hAnsi="Arial"/>
          <w:w w:val="95"/>
          <w:sz w:val="22"/>
        </w:rPr>
        <w:t>materials)</w:t>
      </w:r>
      <w:r>
        <w:rPr>
          <w:rFonts w:ascii="Arial" w:hAnsi="Arial"/>
          <w:spacing w:val="-14"/>
          <w:w w:val="95"/>
          <w:sz w:val="22"/>
        </w:rPr>
        <w:t> </w:t>
      </w:r>
      <w:r>
        <w:rPr>
          <w:rFonts w:ascii="Arial" w:hAnsi="Arial"/>
          <w:w w:val="95"/>
          <w:sz w:val="22"/>
        </w:rPr>
        <w:t>and</w:t>
      </w:r>
      <w:r>
        <w:rPr>
          <w:rFonts w:ascii="Arial" w:hAnsi="Arial"/>
          <w:spacing w:val="-25"/>
          <w:w w:val="95"/>
          <w:sz w:val="22"/>
        </w:rPr>
        <w:t> </w:t>
      </w:r>
      <w:r>
        <w:rPr>
          <w:rFonts w:ascii="Arial" w:hAnsi="Arial"/>
          <w:w w:val="95"/>
          <w:sz w:val="22"/>
        </w:rPr>
        <w:t>in</w:t>
      </w:r>
      <w:r>
        <w:rPr>
          <w:rFonts w:ascii="Arial" w:hAnsi="Arial"/>
          <w:spacing w:val="-26"/>
          <w:w w:val="95"/>
          <w:sz w:val="22"/>
        </w:rPr>
        <w:t> </w:t>
      </w:r>
      <w:r>
        <w:rPr>
          <w:rFonts w:ascii="Arial" w:hAnsi="Arial"/>
          <w:w w:val="95"/>
          <w:sz w:val="22"/>
        </w:rPr>
        <w:t>accordance</w:t>
      </w:r>
      <w:r>
        <w:rPr>
          <w:rFonts w:ascii="Arial" w:hAnsi="Arial"/>
          <w:spacing w:val="-6"/>
          <w:w w:val="95"/>
          <w:sz w:val="22"/>
        </w:rPr>
        <w:t> </w:t>
      </w:r>
      <w:r>
        <w:rPr>
          <w:rFonts w:ascii="Arial" w:hAnsi="Arial"/>
          <w:w w:val="95"/>
          <w:sz w:val="22"/>
        </w:rPr>
        <w:t>with</w:t>
      </w:r>
      <w:r>
        <w:rPr>
          <w:rFonts w:ascii="Arial" w:hAnsi="Arial"/>
          <w:spacing w:val="-21"/>
          <w:w w:val="95"/>
          <w:sz w:val="22"/>
        </w:rPr>
        <w:t> </w:t>
      </w:r>
      <w:r>
        <w:rPr>
          <w:rFonts w:ascii="Arial" w:hAnsi="Arial"/>
          <w:w w:val="95"/>
          <w:sz w:val="22"/>
        </w:rPr>
        <w:t>the</w:t>
      </w:r>
      <w:r>
        <w:rPr>
          <w:rFonts w:ascii="Arial" w:hAnsi="Arial"/>
          <w:spacing w:val="-25"/>
          <w:w w:val="95"/>
          <w:sz w:val="22"/>
        </w:rPr>
        <w:t> </w:t>
      </w:r>
      <w:r>
        <w:rPr>
          <w:rFonts w:ascii="Arial" w:hAnsi="Arial"/>
          <w:w w:val="95"/>
          <w:sz w:val="22"/>
        </w:rPr>
        <w:t>fair</w:t>
      </w:r>
      <w:r>
        <w:rPr>
          <w:rFonts w:ascii="Arial" w:hAnsi="Arial"/>
          <w:spacing w:val="-18"/>
          <w:w w:val="95"/>
          <w:sz w:val="22"/>
        </w:rPr>
        <w:t> </w:t>
      </w:r>
      <w:r>
        <w:rPr>
          <w:rFonts w:ascii="Arial" w:hAnsi="Arial"/>
          <w:w w:val="95"/>
          <w:sz w:val="22"/>
        </w:rPr>
        <w:t>use</w:t>
      </w:r>
      <w:r>
        <w:rPr>
          <w:rFonts w:ascii="Arial" w:hAnsi="Arial"/>
          <w:spacing w:val="-23"/>
          <w:w w:val="95"/>
          <w:sz w:val="22"/>
        </w:rPr>
        <w:t> </w:t>
      </w:r>
      <w:r>
        <w:rPr>
          <w:rFonts w:ascii="Arial" w:hAnsi="Arial"/>
          <w:w w:val="95"/>
          <w:sz w:val="22"/>
        </w:rPr>
        <w:t>principles</w:t>
      </w:r>
      <w:r>
        <w:rPr>
          <w:rFonts w:ascii="Arial" w:hAnsi="Arial"/>
          <w:spacing w:val="-17"/>
          <w:w w:val="95"/>
          <w:sz w:val="22"/>
        </w:rPr>
        <w:t> </w:t>
      </w:r>
      <w:r>
        <w:rPr>
          <w:rFonts w:ascii="Arial" w:hAnsi="Arial"/>
          <w:w w:val="95"/>
          <w:sz w:val="22"/>
        </w:rPr>
        <w:t>of</w:t>
      </w:r>
      <w:r>
        <w:rPr>
          <w:rFonts w:ascii="Arial" w:hAnsi="Arial"/>
          <w:spacing w:val="-22"/>
          <w:w w:val="95"/>
          <w:sz w:val="22"/>
        </w:rPr>
        <w:t> </w:t>
      </w:r>
      <w:r>
        <w:rPr>
          <w:rFonts w:ascii="Arial" w:hAnsi="Arial"/>
          <w:w w:val="95"/>
          <w:sz w:val="22"/>
        </w:rPr>
        <w:t>United</w:t>
      </w:r>
      <w:r>
        <w:rPr>
          <w:rFonts w:ascii="Arial" w:hAnsi="Arial"/>
          <w:spacing w:val="-21"/>
          <w:w w:val="95"/>
          <w:sz w:val="22"/>
        </w:rPr>
        <w:t> </w:t>
      </w:r>
      <w:r>
        <w:rPr>
          <w:rFonts w:ascii="Arial" w:hAnsi="Arial"/>
          <w:w w:val="95"/>
          <w:sz w:val="22"/>
        </w:rPr>
        <w:t>States </w:t>
      </w:r>
      <w:r>
        <w:rPr>
          <w:rFonts w:ascii="Arial" w:hAnsi="Arial"/>
          <w:sz w:val="22"/>
        </w:rPr>
        <w:t>and</w:t>
      </w:r>
      <w:r>
        <w:rPr>
          <w:rFonts w:ascii="Arial" w:hAnsi="Arial"/>
          <w:spacing w:val="-41"/>
          <w:sz w:val="22"/>
        </w:rPr>
        <w:t> </w:t>
      </w:r>
      <w:r>
        <w:rPr>
          <w:rFonts w:ascii="Arial" w:hAnsi="Arial"/>
          <w:sz w:val="22"/>
        </w:rPr>
        <w:t>international</w:t>
      </w:r>
      <w:r>
        <w:rPr>
          <w:rFonts w:ascii="Arial" w:hAnsi="Arial"/>
          <w:spacing w:val="-34"/>
          <w:sz w:val="22"/>
        </w:rPr>
        <w:t> </w:t>
      </w:r>
      <w:r>
        <w:rPr>
          <w:rFonts w:ascii="Arial" w:hAnsi="Arial"/>
          <w:sz w:val="22"/>
        </w:rPr>
        <w:t>copyright</w:t>
      </w:r>
      <w:r>
        <w:rPr>
          <w:rFonts w:ascii="Arial" w:hAnsi="Arial"/>
          <w:spacing w:val="-40"/>
          <w:sz w:val="22"/>
        </w:rPr>
        <w:t> </w:t>
      </w:r>
      <w:r>
        <w:rPr>
          <w:rFonts w:ascii="Arial" w:hAnsi="Arial"/>
          <w:sz w:val="22"/>
        </w:rPr>
        <w:t>and</w:t>
      </w:r>
      <w:r>
        <w:rPr>
          <w:rFonts w:ascii="Arial" w:hAnsi="Arial"/>
          <w:spacing w:val="-39"/>
          <w:sz w:val="22"/>
        </w:rPr>
        <w:t> </w:t>
      </w:r>
      <w:r>
        <w:rPr>
          <w:rFonts w:ascii="Arial" w:hAnsi="Arial"/>
          <w:sz w:val="22"/>
        </w:rPr>
        <w:t>other</w:t>
      </w:r>
      <w:r>
        <w:rPr>
          <w:rFonts w:ascii="Arial" w:hAnsi="Arial"/>
          <w:spacing w:val="-36"/>
          <w:sz w:val="22"/>
        </w:rPr>
        <w:t> </w:t>
      </w:r>
      <w:r>
        <w:rPr>
          <w:rFonts w:ascii="Arial" w:hAnsi="Arial"/>
          <w:sz w:val="22"/>
        </w:rPr>
        <w:t>applicable</w:t>
      </w:r>
      <w:r>
        <w:rPr>
          <w:rFonts w:ascii="Arial" w:hAnsi="Arial"/>
          <w:spacing w:val="-37"/>
          <w:sz w:val="22"/>
        </w:rPr>
        <w:t> </w:t>
      </w:r>
      <w:r>
        <w:rPr>
          <w:rFonts w:ascii="Arial" w:hAnsi="Arial"/>
          <w:sz w:val="22"/>
        </w:rPr>
        <w:t>laws.</w:t>
      </w:r>
      <w:r>
        <w:rPr>
          <w:rFonts w:ascii="Arial" w:hAnsi="Arial"/>
          <w:spacing w:val="-42"/>
          <w:sz w:val="22"/>
        </w:rPr>
        <w:t> </w:t>
      </w:r>
      <w:r>
        <w:rPr>
          <w:rFonts w:ascii="Arial" w:hAnsi="Arial"/>
          <w:sz w:val="22"/>
        </w:rPr>
        <w:t>You</w:t>
      </w:r>
      <w:r>
        <w:rPr>
          <w:rFonts w:ascii="Arial" w:hAnsi="Arial"/>
          <w:spacing w:val="-41"/>
          <w:sz w:val="22"/>
        </w:rPr>
        <w:t> </w:t>
      </w:r>
      <w:r>
        <w:rPr>
          <w:rFonts w:ascii="Arial" w:hAnsi="Arial"/>
          <w:sz w:val="22"/>
        </w:rPr>
        <w:t>may</w:t>
      </w:r>
      <w:r>
        <w:rPr>
          <w:rFonts w:ascii="Arial" w:hAnsi="Arial"/>
          <w:spacing w:val="-40"/>
          <w:sz w:val="22"/>
        </w:rPr>
        <w:t> </w:t>
      </w:r>
      <w:r>
        <w:rPr>
          <w:rFonts w:ascii="Arial" w:hAnsi="Arial"/>
          <w:sz w:val="22"/>
        </w:rPr>
        <w:t>not,</w:t>
      </w:r>
      <w:r>
        <w:rPr>
          <w:rFonts w:ascii="Arial" w:hAnsi="Arial"/>
          <w:spacing w:val="-41"/>
          <w:sz w:val="22"/>
        </w:rPr>
        <w:t> </w:t>
      </w:r>
      <w:r>
        <w:rPr>
          <w:rFonts w:ascii="Arial" w:hAnsi="Arial"/>
          <w:sz w:val="22"/>
        </w:rPr>
        <w:t>for</w:t>
      </w:r>
      <w:r>
        <w:rPr>
          <w:rFonts w:ascii="Arial" w:hAnsi="Arial"/>
          <w:spacing w:val="-40"/>
          <w:sz w:val="22"/>
        </w:rPr>
        <w:t> </w:t>
      </w:r>
      <w:r>
        <w:rPr>
          <w:rFonts w:ascii="Arial" w:hAnsi="Arial"/>
          <w:sz w:val="22"/>
        </w:rPr>
        <w:t>example,</w:t>
      </w:r>
      <w:r>
        <w:rPr>
          <w:rFonts w:ascii="Arial" w:hAnsi="Arial"/>
          <w:spacing w:val="-40"/>
          <w:sz w:val="22"/>
        </w:rPr>
        <w:t> </w:t>
      </w:r>
      <w:r>
        <w:rPr>
          <w:rFonts w:ascii="Arial" w:hAnsi="Arial"/>
          <w:sz w:val="22"/>
        </w:rPr>
        <w:t>copy</w:t>
      </w:r>
      <w:r>
        <w:rPr>
          <w:rFonts w:ascii="Arial" w:hAnsi="Arial"/>
          <w:spacing w:val="-38"/>
          <w:sz w:val="22"/>
        </w:rPr>
        <w:t> </w:t>
      </w:r>
      <w:r>
        <w:rPr>
          <w:rFonts w:ascii="Arial" w:hAnsi="Arial"/>
          <w:sz w:val="22"/>
        </w:rPr>
        <w:t>or</w:t>
      </w:r>
      <w:r>
        <w:rPr>
          <w:rFonts w:ascii="Arial" w:hAnsi="Arial"/>
          <w:spacing w:val="-39"/>
          <w:sz w:val="22"/>
        </w:rPr>
        <w:t> </w:t>
      </w:r>
      <w:r>
        <w:rPr>
          <w:rFonts w:ascii="Arial" w:hAnsi="Arial"/>
          <w:sz w:val="22"/>
        </w:rPr>
        <w:t>email</w:t>
      </w:r>
      <w:r>
        <w:rPr>
          <w:rFonts w:ascii="Arial" w:hAnsi="Arial"/>
          <w:spacing w:val="-38"/>
          <w:sz w:val="22"/>
        </w:rPr>
        <w:t> </w:t>
      </w:r>
      <w:r>
        <w:rPr>
          <w:rFonts w:ascii="Arial" w:hAnsi="Arial"/>
          <w:sz w:val="22"/>
        </w:rPr>
        <w:t>these materials</w:t>
      </w:r>
      <w:r>
        <w:rPr>
          <w:rFonts w:ascii="Arial" w:hAnsi="Arial"/>
          <w:spacing w:val="-32"/>
          <w:sz w:val="22"/>
        </w:rPr>
        <w:t> </w:t>
      </w:r>
      <w:r>
        <w:rPr>
          <w:rFonts w:ascii="Arial" w:hAnsi="Arial"/>
          <w:sz w:val="22"/>
        </w:rPr>
        <w:t>to</w:t>
      </w:r>
      <w:r>
        <w:rPr>
          <w:rFonts w:ascii="Arial" w:hAnsi="Arial"/>
          <w:spacing w:val="-42"/>
          <w:sz w:val="22"/>
        </w:rPr>
        <w:t> </w:t>
      </w:r>
      <w:r>
        <w:rPr>
          <w:rFonts w:ascii="Arial" w:hAnsi="Arial"/>
          <w:sz w:val="22"/>
        </w:rPr>
        <w:t>multiple</w:t>
      </w:r>
      <w:r>
        <w:rPr>
          <w:rFonts w:ascii="Arial" w:hAnsi="Arial"/>
          <w:spacing w:val="-33"/>
          <w:sz w:val="22"/>
        </w:rPr>
        <w:t> </w:t>
      </w:r>
      <w:r>
        <w:rPr>
          <w:rFonts w:ascii="Arial" w:hAnsi="Arial"/>
          <w:sz w:val="22"/>
        </w:rPr>
        <w:t>web</w:t>
      </w:r>
      <w:r>
        <w:rPr>
          <w:rFonts w:ascii="Arial" w:hAnsi="Arial"/>
          <w:spacing w:val="-38"/>
          <w:sz w:val="22"/>
        </w:rPr>
        <w:t> </w:t>
      </w:r>
      <w:r>
        <w:rPr>
          <w:rFonts w:ascii="Arial" w:hAnsi="Arial"/>
          <w:sz w:val="22"/>
        </w:rPr>
        <w:t>sites</w:t>
      </w:r>
      <w:r>
        <w:rPr>
          <w:rFonts w:ascii="Arial" w:hAnsi="Arial"/>
          <w:spacing w:val="-37"/>
          <w:sz w:val="22"/>
        </w:rPr>
        <w:t> </w:t>
      </w:r>
      <w:r>
        <w:rPr>
          <w:rFonts w:ascii="Arial" w:hAnsi="Arial"/>
          <w:sz w:val="22"/>
        </w:rPr>
        <w:t>or</w:t>
      </w:r>
      <w:r>
        <w:rPr>
          <w:rFonts w:ascii="Arial" w:hAnsi="Arial"/>
          <w:spacing w:val="-36"/>
          <w:sz w:val="22"/>
        </w:rPr>
        <w:t> </w:t>
      </w:r>
      <w:r>
        <w:rPr>
          <w:rFonts w:ascii="Arial" w:hAnsi="Arial"/>
          <w:sz w:val="22"/>
        </w:rPr>
        <w:t>publicly</w:t>
      </w:r>
      <w:r>
        <w:rPr>
          <w:rFonts w:ascii="Arial" w:hAnsi="Arial"/>
          <w:spacing w:val="-33"/>
          <w:sz w:val="22"/>
        </w:rPr>
        <w:t> </w:t>
      </w:r>
      <w:r>
        <w:rPr>
          <w:rFonts w:ascii="Arial" w:hAnsi="Arial"/>
          <w:sz w:val="22"/>
        </w:rPr>
        <w:t>post,</w:t>
      </w:r>
      <w:r>
        <w:rPr>
          <w:rFonts w:ascii="Arial" w:hAnsi="Arial"/>
          <w:spacing w:val="-39"/>
          <w:sz w:val="22"/>
        </w:rPr>
        <w:t> </w:t>
      </w:r>
      <w:r>
        <w:rPr>
          <w:rFonts w:ascii="Arial" w:hAnsi="Arial"/>
          <w:sz w:val="22"/>
        </w:rPr>
        <w:t>distribute</w:t>
      </w:r>
      <w:r>
        <w:rPr>
          <w:rFonts w:ascii="Arial" w:hAnsi="Arial"/>
          <w:spacing w:val="-34"/>
          <w:sz w:val="22"/>
        </w:rPr>
        <w:t> </w:t>
      </w:r>
      <w:r>
        <w:rPr>
          <w:rFonts w:ascii="Arial" w:hAnsi="Arial"/>
          <w:sz w:val="22"/>
        </w:rPr>
        <w:t>for</w:t>
      </w:r>
      <w:r>
        <w:rPr>
          <w:rFonts w:ascii="Arial" w:hAnsi="Arial"/>
          <w:spacing w:val="-36"/>
          <w:sz w:val="22"/>
        </w:rPr>
        <w:t> </w:t>
      </w:r>
      <w:r>
        <w:rPr>
          <w:rFonts w:ascii="Arial" w:hAnsi="Arial"/>
          <w:sz w:val="22"/>
        </w:rPr>
        <w:t>commercial</w:t>
      </w:r>
      <w:r>
        <w:rPr>
          <w:rFonts w:ascii="Arial" w:hAnsi="Arial"/>
          <w:spacing w:val="-35"/>
          <w:sz w:val="22"/>
        </w:rPr>
        <w:t> </w:t>
      </w:r>
      <w:r>
        <w:rPr>
          <w:rFonts w:ascii="Arial" w:hAnsi="Arial"/>
          <w:sz w:val="22"/>
        </w:rPr>
        <w:t>purposes,</w:t>
      </w:r>
      <w:r>
        <w:rPr>
          <w:rFonts w:ascii="Arial" w:hAnsi="Arial"/>
          <w:spacing w:val="-39"/>
          <w:sz w:val="22"/>
        </w:rPr>
        <w:t> </w:t>
      </w:r>
      <w:r>
        <w:rPr>
          <w:rFonts w:ascii="Arial" w:hAnsi="Arial"/>
          <w:sz w:val="22"/>
        </w:rPr>
        <w:t>modify,</w:t>
      </w:r>
      <w:r>
        <w:rPr>
          <w:rFonts w:ascii="Arial" w:hAnsi="Arial"/>
          <w:spacing w:val="-37"/>
          <w:sz w:val="22"/>
        </w:rPr>
        <w:t> </w:t>
      </w:r>
      <w:r>
        <w:rPr>
          <w:rFonts w:ascii="Arial" w:hAnsi="Arial"/>
          <w:sz w:val="22"/>
        </w:rPr>
        <w:t>or</w:t>
      </w:r>
      <w:r>
        <w:rPr>
          <w:rFonts w:ascii="Arial" w:hAnsi="Arial"/>
          <w:spacing w:val="-37"/>
          <w:sz w:val="22"/>
        </w:rPr>
        <w:t> </w:t>
      </w:r>
      <w:r>
        <w:rPr>
          <w:rFonts w:ascii="Arial" w:hAnsi="Arial"/>
          <w:sz w:val="22"/>
        </w:rPr>
        <w:t>create derivative</w:t>
      </w:r>
      <w:r>
        <w:rPr>
          <w:rFonts w:ascii="Arial" w:hAnsi="Arial"/>
          <w:spacing w:val="-31"/>
          <w:sz w:val="22"/>
        </w:rPr>
        <w:t> </w:t>
      </w:r>
      <w:r>
        <w:rPr>
          <w:rFonts w:ascii="Arial" w:hAnsi="Arial"/>
          <w:sz w:val="22"/>
        </w:rPr>
        <w:t>works</w:t>
      </w:r>
      <w:r>
        <w:rPr>
          <w:rFonts w:ascii="Arial" w:hAnsi="Arial"/>
          <w:spacing w:val="-36"/>
          <w:sz w:val="22"/>
        </w:rPr>
        <w:t> </w:t>
      </w:r>
      <w:r>
        <w:rPr>
          <w:rFonts w:ascii="Arial" w:hAnsi="Arial"/>
          <w:sz w:val="22"/>
        </w:rPr>
        <w:t>of</w:t>
      </w:r>
      <w:r>
        <w:rPr>
          <w:rFonts w:ascii="Arial" w:hAnsi="Arial"/>
          <w:spacing w:val="-37"/>
          <w:sz w:val="22"/>
        </w:rPr>
        <w:t> </w:t>
      </w:r>
      <w:r>
        <w:rPr>
          <w:rFonts w:ascii="Arial" w:hAnsi="Arial"/>
          <w:sz w:val="22"/>
        </w:rPr>
        <w:t>these</w:t>
      </w:r>
      <w:r>
        <w:rPr>
          <w:rFonts w:ascii="Arial" w:hAnsi="Arial"/>
          <w:spacing w:val="-36"/>
          <w:sz w:val="22"/>
        </w:rPr>
        <w:t> </w:t>
      </w:r>
      <w:r>
        <w:rPr>
          <w:rFonts w:ascii="Arial" w:hAnsi="Arial"/>
          <w:sz w:val="22"/>
        </w:rPr>
        <w:t>materials</w:t>
      </w:r>
      <w:r>
        <w:rPr>
          <w:rFonts w:ascii="Arial" w:hAnsi="Arial"/>
          <w:spacing w:val="-24"/>
          <w:sz w:val="22"/>
        </w:rPr>
        <w:t> </w:t>
      </w:r>
      <w:r>
        <w:rPr>
          <w:rFonts w:ascii="Arial" w:hAnsi="Arial"/>
          <w:sz w:val="22"/>
        </w:rPr>
        <w:t>without</w:t>
      </w:r>
      <w:r>
        <w:rPr>
          <w:rFonts w:ascii="Arial" w:hAnsi="Arial"/>
          <w:spacing w:val="-32"/>
          <w:sz w:val="22"/>
        </w:rPr>
        <w:t> </w:t>
      </w:r>
      <w:r>
        <w:rPr>
          <w:rFonts w:ascii="Arial" w:hAnsi="Arial"/>
          <w:sz w:val="22"/>
        </w:rPr>
        <w:t>the</w:t>
      </w:r>
      <w:r>
        <w:rPr>
          <w:rFonts w:ascii="Arial" w:hAnsi="Arial"/>
          <w:spacing w:val="-38"/>
          <w:sz w:val="22"/>
        </w:rPr>
        <w:t> </w:t>
      </w:r>
      <w:r>
        <w:rPr>
          <w:rFonts w:ascii="Arial" w:hAnsi="Arial"/>
          <w:sz w:val="22"/>
        </w:rPr>
        <w:t>copyright</w:t>
      </w:r>
      <w:r>
        <w:rPr>
          <w:rFonts w:ascii="Arial" w:hAnsi="Arial"/>
          <w:spacing w:val="-32"/>
          <w:sz w:val="22"/>
        </w:rPr>
        <w:t> </w:t>
      </w:r>
      <w:r>
        <w:rPr>
          <w:rFonts w:ascii="Arial" w:hAnsi="Arial"/>
          <w:sz w:val="22"/>
        </w:rPr>
        <w:t>holder’s</w:t>
      </w:r>
      <w:r>
        <w:rPr>
          <w:rFonts w:ascii="Arial" w:hAnsi="Arial"/>
          <w:spacing w:val="-35"/>
          <w:sz w:val="22"/>
        </w:rPr>
        <w:t> </w:t>
      </w:r>
      <w:r>
        <w:rPr>
          <w:rFonts w:ascii="Arial" w:hAnsi="Arial"/>
          <w:sz w:val="22"/>
        </w:rPr>
        <w:t>express</w:t>
      </w:r>
      <w:r>
        <w:rPr>
          <w:rFonts w:ascii="Arial" w:hAnsi="Arial"/>
          <w:spacing w:val="-33"/>
          <w:sz w:val="22"/>
        </w:rPr>
        <w:t> </w:t>
      </w:r>
      <w:r>
        <w:rPr>
          <w:rFonts w:ascii="Arial" w:hAnsi="Arial"/>
          <w:sz w:val="22"/>
        </w:rPr>
        <w:t>prior</w:t>
      </w:r>
      <w:r>
        <w:rPr>
          <w:rFonts w:ascii="Arial" w:hAnsi="Arial"/>
          <w:spacing w:val="-31"/>
          <w:sz w:val="22"/>
        </w:rPr>
        <w:t> </w:t>
      </w:r>
      <w:r>
        <w:rPr>
          <w:rFonts w:ascii="Arial" w:hAnsi="Arial"/>
          <w:sz w:val="22"/>
        </w:rPr>
        <w:t>written</w:t>
      </w:r>
      <w:r>
        <w:rPr>
          <w:rFonts w:ascii="Arial" w:hAnsi="Arial"/>
          <w:spacing w:val="-36"/>
          <w:sz w:val="22"/>
        </w:rPr>
        <w:t> </w:t>
      </w:r>
      <w:r>
        <w:rPr>
          <w:rFonts w:ascii="Arial" w:hAnsi="Arial"/>
          <w:sz w:val="22"/>
        </w:rPr>
        <w:t>permission.</w:t>
      </w:r>
    </w:p>
    <w:p>
      <w:pPr>
        <w:pStyle w:val="BodyText"/>
        <w:spacing w:before="7"/>
        <w:rPr>
          <w:rFonts w:ascii="Arial"/>
          <w:sz w:val="24"/>
        </w:rPr>
      </w:pPr>
    </w:p>
    <w:p>
      <w:pPr>
        <w:spacing w:line="276" w:lineRule="auto" w:before="0"/>
        <w:ind w:left="119" w:right="62" w:firstLine="6"/>
        <w:jc w:val="left"/>
        <w:rPr>
          <w:rFonts w:ascii="Arial"/>
          <w:sz w:val="22"/>
        </w:rPr>
      </w:pPr>
      <w:r>
        <w:rPr>
          <w:rFonts w:ascii="Arial"/>
          <w:w w:val="95"/>
          <w:sz w:val="22"/>
        </w:rPr>
        <w:t>Please</w:t>
      </w:r>
      <w:r>
        <w:rPr>
          <w:rFonts w:ascii="Arial"/>
          <w:spacing w:val="-13"/>
          <w:w w:val="95"/>
          <w:sz w:val="22"/>
        </w:rPr>
        <w:t> </w:t>
      </w:r>
      <w:r>
        <w:rPr>
          <w:rFonts w:ascii="Arial"/>
          <w:w w:val="95"/>
          <w:sz w:val="22"/>
        </w:rPr>
        <w:t>contact</w:t>
      </w:r>
      <w:r>
        <w:rPr>
          <w:rFonts w:ascii="Arial"/>
          <w:spacing w:val="-13"/>
          <w:w w:val="95"/>
          <w:sz w:val="22"/>
        </w:rPr>
        <w:t> </w:t>
      </w:r>
      <w:r>
        <w:rPr>
          <w:rFonts w:ascii="Arial"/>
          <w:w w:val="95"/>
          <w:sz w:val="22"/>
        </w:rPr>
        <w:t>the</w:t>
      </w:r>
      <w:r>
        <w:rPr>
          <w:rFonts w:ascii="Arial"/>
          <w:spacing w:val="-20"/>
          <w:w w:val="95"/>
          <w:sz w:val="22"/>
        </w:rPr>
        <w:t> </w:t>
      </w:r>
      <w:r>
        <w:rPr>
          <w:rFonts w:ascii="Arial"/>
          <w:w w:val="95"/>
          <w:sz w:val="22"/>
        </w:rPr>
        <w:t>copyright</w:t>
      </w:r>
      <w:r>
        <w:rPr>
          <w:rFonts w:ascii="Arial"/>
          <w:spacing w:val="-11"/>
          <w:w w:val="95"/>
          <w:sz w:val="22"/>
        </w:rPr>
        <w:t> </w:t>
      </w:r>
      <w:r>
        <w:rPr>
          <w:rFonts w:ascii="Arial"/>
          <w:w w:val="95"/>
          <w:sz w:val="22"/>
        </w:rPr>
        <w:t>holder</w:t>
      </w:r>
      <w:r>
        <w:rPr>
          <w:rFonts w:ascii="Arial"/>
          <w:spacing w:val="-10"/>
          <w:w w:val="95"/>
          <w:sz w:val="22"/>
        </w:rPr>
        <w:t> </w:t>
      </w:r>
      <w:r>
        <w:rPr>
          <w:rFonts w:ascii="Arial"/>
          <w:w w:val="95"/>
          <w:sz w:val="22"/>
        </w:rPr>
        <w:t>if</w:t>
      </w:r>
      <w:r>
        <w:rPr>
          <w:rFonts w:ascii="Arial"/>
          <w:spacing w:val="-20"/>
          <w:w w:val="95"/>
          <w:sz w:val="22"/>
        </w:rPr>
        <w:t> </w:t>
      </w:r>
      <w:r>
        <w:rPr>
          <w:rFonts w:ascii="Arial"/>
          <w:w w:val="95"/>
          <w:sz w:val="22"/>
        </w:rPr>
        <w:t>you</w:t>
      </w:r>
      <w:r>
        <w:rPr>
          <w:rFonts w:ascii="Arial"/>
          <w:spacing w:val="-12"/>
          <w:w w:val="95"/>
          <w:sz w:val="22"/>
        </w:rPr>
        <w:t> </w:t>
      </w:r>
      <w:r>
        <w:rPr>
          <w:rFonts w:ascii="Arial"/>
          <w:w w:val="95"/>
          <w:sz w:val="22"/>
        </w:rPr>
        <w:t>would</w:t>
      </w:r>
      <w:r>
        <w:rPr>
          <w:rFonts w:ascii="Arial"/>
          <w:spacing w:val="-16"/>
          <w:w w:val="95"/>
          <w:sz w:val="22"/>
        </w:rPr>
        <w:t> </w:t>
      </w:r>
      <w:r>
        <w:rPr>
          <w:rFonts w:ascii="Arial"/>
          <w:w w:val="95"/>
          <w:sz w:val="22"/>
        </w:rPr>
        <w:t>like</w:t>
      </w:r>
      <w:r>
        <w:rPr>
          <w:rFonts w:ascii="Arial"/>
          <w:spacing w:val="-17"/>
          <w:w w:val="95"/>
          <w:sz w:val="22"/>
        </w:rPr>
        <w:t> </w:t>
      </w:r>
      <w:r>
        <w:rPr>
          <w:rFonts w:ascii="Arial"/>
          <w:w w:val="95"/>
          <w:sz w:val="22"/>
        </w:rPr>
        <w:t>to</w:t>
      </w:r>
      <w:r>
        <w:rPr>
          <w:rFonts w:ascii="Arial"/>
          <w:spacing w:val="-21"/>
          <w:w w:val="95"/>
          <w:sz w:val="22"/>
        </w:rPr>
        <w:t> </w:t>
      </w:r>
      <w:r>
        <w:rPr>
          <w:rFonts w:ascii="Arial"/>
          <w:w w:val="95"/>
          <w:sz w:val="22"/>
        </w:rPr>
        <w:t>request</w:t>
      </w:r>
      <w:r>
        <w:rPr>
          <w:rFonts w:ascii="Arial"/>
          <w:spacing w:val="-15"/>
          <w:w w:val="95"/>
          <w:sz w:val="22"/>
        </w:rPr>
        <w:t> </w:t>
      </w:r>
      <w:r>
        <w:rPr>
          <w:rFonts w:ascii="Arial"/>
          <w:w w:val="95"/>
          <w:sz w:val="22"/>
        </w:rPr>
        <w:t>permission</w:t>
      </w:r>
      <w:r>
        <w:rPr>
          <w:rFonts w:ascii="Arial"/>
          <w:spacing w:val="-9"/>
          <w:w w:val="95"/>
          <w:sz w:val="22"/>
        </w:rPr>
        <w:t> </w:t>
      </w:r>
      <w:r>
        <w:rPr>
          <w:rFonts w:ascii="Arial"/>
          <w:w w:val="95"/>
          <w:sz w:val="22"/>
        </w:rPr>
        <w:t>to</w:t>
      </w:r>
      <w:r>
        <w:rPr>
          <w:rFonts w:ascii="Arial"/>
          <w:spacing w:val="-21"/>
          <w:w w:val="95"/>
          <w:sz w:val="22"/>
        </w:rPr>
        <w:t> </w:t>
      </w:r>
      <w:r>
        <w:rPr>
          <w:rFonts w:ascii="Arial"/>
          <w:w w:val="95"/>
          <w:sz w:val="22"/>
        </w:rPr>
        <w:t>use</w:t>
      </w:r>
      <w:r>
        <w:rPr>
          <w:rFonts w:ascii="Arial"/>
          <w:spacing w:val="-9"/>
          <w:w w:val="95"/>
          <w:sz w:val="22"/>
        </w:rPr>
        <w:t> </w:t>
      </w:r>
      <w:r>
        <w:rPr>
          <w:rFonts w:ascii="Arial"/>
          <w:w w:val="95"/>
          <w:sz w:val="22"/>
        </w:rPr>
        <w:t>these</w:t>
      </w:r>
      <w:r>
        <w:rPr>
          <w:rFonts w:ascii="Arial"/>
          <w:spacing w:val="-17"/>
          <w:w w:val="95"/>
          <w:sz w:val="22"/>
        </w:rPr>
        <w:t> </w:t>
      </w:r>
      <w:r>
        <w:rPr>
          <w:rFonts w:ascii="Arial"/>
          <w:w w:val="95"/>
          <w:sz w:val="22"/>
        </w:rPr>
        <w:t>materials,</w:t>
      </w:r>
      <w:r>
        <w:rPr>
          <w:rFonts w:ascii="Arial"/>
          <w:spacing w:val="-17"/>
          <w:w w:val="95"/>
          <w:sz w:val="22"/>
        </w:rPr>
        <w:t> </w:t>
      </w:r>
      <w:r>
        <w:rPr>
          <w:rFonts w:ascii="Arial"/>
          <w:w w:val="95"/>
          <w:sz w:val="22"/>
        </w:rPr>
        <w:t>or </w:t>
      </w:r>
      <w:r>
        <w:rPr>
          <w:rFonts w:ascii="Arial"/>
          <w:sz w:val="22"/>
        </w:rPr>
        <w:t>any</w:t>
      </w:r>
      <w:r>
        <w:rPr>
          <w:rFonts w:ascii="Arial"/>
          <w:spacing w:val="-40"/>
          <w:sz w:val="22"/>
        </w:rPr>
        <w:t> </w:t>
      </w:r>
      <w:r>
        <w:rPr>
          <w:rFonts w:ascii="Arial"/>
          <w:sz w:val="22"/>
        </w:rPr>
        <w:t>part</w:t>
      </w:r>
      <w:r>
        <w:rPr>
          <w:rFonts w:ascii="Arial"/>
          <w:spacing w:val="-40"/>
          <w:sz w:val="22"/>
        </w:rPr>
        <w:t> </w:t>
      </w:r>
      <w:r>
        <w:rPr>
          <w:rFonts w:ascii="Arial"/>
          <w:sz w:val="22"/>
        </w:rPr>
        <w:t>of</w:t>
      </w:r>
      <w:r>
        <w:rPr>
          <w:rFonts w:ascii="Arial"/>
          <w:spacing w:val="-38"/>
          <w:sz w:val="22"/>
        </w:rPr>
        <w:t> </w:t>
      </w:r>
      <w:r>
        <w:rPr>
          <w:rFonts w:ascii="Arial"/>
          <w:sz w:val="22"/>
        </w:rPr>
        <w:t>these</w:t>
      </w:r>
      <w:r>
        <w:rPr>
          <w:rFonts w:ascii="Arial"/>
          <w:spacing w:val="-39"/>
          <w:sz w:val="22"/>
        </w:rPr>
        <w:t> </w:t>
      </w:r>
      <w:r>
        <w:rPr>
          <w:rFonts w:ascii="Arial"/>
          <w:sz w:val="22"/>
        </w:rPr>
        <w:t>materials,</w:t>
      </w:r>
      <w:r>
        <w:rPr>
          <w:rFonts w:ascii="Arial"/>
          <w:spacing w:val="-39"/>
          <w:sz w:val="22"/>
        </w:rPr>
        <w:t> </w:t>
      </w:r>
      <w:r>
        <w:rPr>
          <w:rFonts w:ascii="Arial"/>
          <w:sz w:val="22"/>
        </w:rPr>
        <w:t>in</w:t>
      </w:r>
      <w:r>
        <w:rPr>
          <w:rFonts w:ascii="Arial"/>
          <w:spacing w:val="-42"/>
          <w:sz w:val="22"/>
        </w:rPr>
        <w:t> </w:t>
      </w:r>
      <w:r>
        <w:rPr>
          <w:rFonts w:ascii="Arial"/>
          <w:sz w:val="22"/>
        </w:rPr>
        <w:t>any</w:t>
      </w:r>
      <w:r>
        <w:rPr>
          <w:rFonts w:ascii="Arial"/>
          <w:spacing w:val="-42"/>
          <w:sz w:val="22"/>
        </w:rPr>
        <w:t> </w:t>
      </w:r>
      <w:r>
        <w:rPr>
          <w:rFonts w:ascii="Arial"/>
          <w:sz w:val="22"/>
        </w:rPr>
        <w:t>manner</w:t>
      </w:r>
      <w:r>
        <w:rPr>
          <w:rFonts w:ascii="Arial"/>
          <w:spacing w:val="-38"/>
          <w:sz w:val="22"/>
        </w:rPr>
        <w:t> </w:t>
      </w:r>
      <w:r>
        <w:rPr>
          <w:rFonts w:ascii="Arial"/>
          <w:sz w:val="22"/>
        </w:rPr>
        <w:t>or</w:t>
      </w:r>
      <w:r>
        <w:rPr>
          <w:rFonts w:ascii="Arial"/>
          <w:spacing w:val="-36"/>
          <w:sz w:val="22"/>
        </w:rPr>
        <w:t> </w:t>
      </w:r>
      <w:r>
        <w:rPr>
          <w:rFonts w:ascii="Arial"/>
          <w:sz w:val="22"/>
        </w:rPr>
        <w:t>for</w:t>
      </w:r>
      <w:r>
        <w:rPr>
          <w:rFonts w:ascii="Arial"/>
          <w:spacing w:val="-38"/>
          <w:sz w:val="22"/>
        </w:rPr>
        <w:t> </w:t>
      </w:r>
      <w:r>
        <w:rPr>
          <w:rFonts w:ascii="Arial"/>
          <w:sz w:val="22"/>
        </w:rPr>
        <w:t>any</w:t>
      </w:r>
      <w:r>
        <w:rPr>
          <w:rFonts w:ascii="Arial"/>
          <w:spacing w:val="-39"/>
          <w:sz w:val="22"/>
        </w:rPr>
        <w:t> </w:t>
      </w:r>
      <w:r>
        <w:rPr>
          <w:rFonts w:ascii="Arial"/>
          <w:sz w:val="22"/>
        </w:rPr>
        <w:t>use</w:t>
      </w:r>
      <w:r>
        <w:rPr>
          <w:rFonts w:ascii="Arial"/>
          <w:spacing w:val="-41"/>
          <w:sz w:val="22"/>
        </w:rPr>
        <w:t> </w:t>
      </w:r>
      <w:r>
        <w:rPr>
          <w:rFonts w:ascii="Arial"/>
          <w:sz w:val="22"/>
        </w:rPr>
        <w:t>not</w:t>
      </w:r>
      <w:r>
        <w:rPr>
          <w:rFonts w:ascii="Arial"/>
          <w:spacing w:val="-42"/>
          <w:sz w:val="22"/>
        </w:rPr>
        <w:t> </w:t>
      </w:r>
      <w:r>
        <w:rPr>
          <w:rFonts w:ascii="Arial"/>
          <w:sz w:val="22"/>
        </w:rPr>
        <w:t>permitted</w:t>
      </w:r>
      <w:r>
        <w:rPr>
          <w:rFonts w:ascii="Arial"/>
          <w:spacing w:val="-38"/>
          <w:sz w:val="22"/>
        </w:rPr>
        <w:t> </w:t>
      </w:r>
      <w:r>
        <w:rPr>
          <w:rFonts w:ascii="Arial"/>
          <w:sz w:val="22"/>
        </w:rPr>
        <w:t>by</w:t>
      </w:r>
      <w:r>
        <w:rPr>
          <w:rFonts w:ascii="Arial"/>
          <w:spacing w:val="-39"/>
          <w:sz w:val="22"/>
        </w:rPr>
        <w:t> </w:t>
      </w:r>
      <w:r>
        <w:rPr>
          <w:rFonts w:ascii="Arial"/>
          <w:sz w:val="22"/>
        </w:rPr>
        <w:t>the</w:t>
      </w:r>
      <w:r>
        <w:rPr>
          <w:rFonts w:ascii="Arial"/>
          <w:spacing w:val="-39"/>
          <w:sz w:val="22"/>
        </w:rPr>
        <w:t> </w:t>
      </w:r>
      <w:r>
        <w:rPr>
          <w:rFonts w:ascii="Arial"/>
          <w:sz w:val="22"/>
        </w:rPr>
        <w:t>agreements</w:t>
      </w:r>
      <w:r>
        <w:rPr>
          <w:rFonts w:ascii="Arial"/>
          <w:spacing w:val="-37"/>
          <w:sz w:val="22"/>
        </w:rPr>
        <w:t> </w:t>
      </w:r>
      <w:r>
        <w:rPr>
          <w:rFonts w:ascii="Arial"/>
          <w:sz w:val="22"/>
        </w:rPr>
        <w:t>described </w:t>
      </w:r>
      <w:r>
        <w:rPr>
          <w:rFonts w:ascii="Arial"/>
          <w:w w:val="95"/>
          <w:sz w:val="22"/>
        </w:rPr>
        <w:t>above</w:t>
      </w:r>
      <w:r>
        <w:rPr>
          <w:rFonts w:ascii="Arial"/>
          <w:spacing w:val="-21"/>
          <w:w w:val="95"/>
          <w:sz w:val="22"/>
        </w:rPr>
        <w:t> </w:t>
      </w:r>
      <w:r>
        <w:rPr>
          <w:rFonts w:ascii="Arial"/>
          <w:w w:val="95"/>
          <w:sz w:val="22"/>
        </w:rPr>
        <w:t>or</w:t>
      </w:r>
      <w:r>
        <w:rPr>
          <w:rFonts w:ascii="Arial"/>
          <w:spacing w:val="-17"/>
          <w:w w:val="95"/>
          <w:sz w:val="22"/>
        </w:rPr>
        <w:t> </w:t>
      </w:r>
      <w:r>
        <w:rPr>
          <w:rFonts w:ascii="Arial"/>
          <w:w w:val="95"/>
          <w:sz w:val="22"/>
        </w:rPr>
        <w:t>the</w:t>
      </w:r>
      <w:r>
        <w:rPr>
          <w:rFonts w:ascii="Arial"/>
          <w:spacing w:val="-26"/>
          <w:w w:val="95"/>
          <w:sz w:val="22"/>
        </w:rPr>
        <w:t> </w:t>
      </w:r>
      <w:r>
        <w:rPr>
          <w:rFonts w:ascii="Arial"/>
          <w:w w:val="95"/>
          <w:sz w:val="22"/>
        </w:rPr>
        <w:t>fair</w:t>
      </w:r>
      <w:r>
        <w:rPr>
          <w:rFonts w:ascii="Arial"/>
          <w:spacing w:val="-23"/>
          <w:w w:val="95"/>
          <w:sz w:val="22"/>
        </w:rPr>
        <w:t> </w:t>
      </w:r>
      <w:r>
        <w:rPr>
          <w:rFonts w:ascii="Arial"/>
          <w:w w:val="95"/>
          <w:sz w:val="22"/>
        </w:rPr>
        <w:t>use</w:t>
      </w:r>
      <w:r>
        <w:rPr>
          <w:rFonts w:ascii="Arial"/>
          <w:spacing w:val="-26"/>
          <w:w w:val="95"/>
          <w:sz w:val="22"/>
        </w:rPr>
        <w:t> </w:t>
      </w:r>
      <w:r>
        <w:rPr>
          <w:rFonts w:ascii="Arial"/>
          <w:w w:val="95"/>
          <w:sz w:val="22"/>
        </w:rPr>
        <w:t>provisions</w:t>
      </w:r>
      <w:r>
        <w:rPr>
          <w:rFonts w:ascii="Arial"/>
          <w:spacing w:val="-18"/>
          <w:w w:val="95"/>
          <w:sz w:val="22"/>
        </w:rPr>
        <w:t> </w:t>
      </w:r>
      <w:r>
        <w:rPr>
          <w:rFonts w:ascii="Arial"/>
          <w:w w:val="95"/>
          <w:sz w:val="22"/>
        </w:rPr>
        <w:t>of</w:t>
      </w:r>
      <w:r>
        <w:rPr>
          <w:rFonts w:ascii="Arial"/>
          <w:spacing w:val="-24"/>
          <w:w w:val="95"/>
          <w:sz w:val="22"/>
        </w:rPr>
        <w:t> </w:t>
      </w:r>
      <w:r>
        <w:rPr>
          <w:rFonts w:ascii="Arial"/>
          <w:w w:val="95"/>
          <w:sz w:val="22"/>
        </w:rPr>
        <w:t>United</w:t>
      </w:r>
      <w:r>
        <w:rPr>
          <w:rFonts w:ascii="Arial"/>
          <w:spacing w:val="-25"/>
          <w:w w:val="95"/>
          <w:sz w:val="22"/>
        </w:rPr>
        <w:t> </w:t>
      </w:r>
      <w:r>
        <w:rPr>
          <w:rFonts w:ascii="Arial"/>
          <w:w w:val="95"/>
          <w:sz w:val="22"/>
        </w:rPr>
        <w:t>States</w:t>
      </w:r>
      <w:r>
        <w:rPr>
          <w:rFonts w:ascii="Arial"/>
          <w:spacing w:val="-20"/>
          <w:w w:val="95"/>
          <w:sz w:val="22"/>
        </w:rPr>
        <w:t> </w:t>
      </w:r>
      <w:r>
        <w:rPr>
          <w:rFonts w:ascii="Arial"/>
          <w:w w:val="95"/>
          <w:sz w:val="22"/>
        </w:rPr>
        <w:t>and</w:t>
      </w:r>
      <w:r>
        <w:rPr>
          <w:rFonts w:ascii="Arial"/>
          <w:spacing w:val="-22"/>
          <w:w w:val="95"/>
          <w:sz w:val="22"/>
        </w:rPr>
        <w:t> </w:t>
      </w:r>
      <w:r>
        <w:rPr>
          <w:rFonts w:ascii="Arial"/>
          <w:w w:val="95"/>
          <w:sz w:val="22"/>
        </w:rPr>
        <w:t>international</w:t>
      </w:r>
      <w:r>
        <w:rPr>
          <w:rFonts w:ascii="Arial"/>
          <w:spacing w:val="-13"/>
          <w:w w:val="95"/>
          <w:sz w:val="22"/>
        </w:rPr>
        <w:t> </w:t>
      </w:r>
      <w:r>
        <w:rPr>
          <w:rFonts w:ascii="Arial"/>
          <w:w w:val="95"/>
          <w:sz w:val="22"/>
        </w:rPr>
        <w:t>copyright</w:t>
      </w:r>
      <w:r>
        <w:rPr>
          <w:rFonts w:ascii="Arial"/>
          <w:spacing w:val="-21"/>
          <w:w w:val="95"/>
          <w:sz w:val="22"/>
        </w:rPr>
        <w:t> </w:t>
      </w:r>
      <w:r>
        <w:rPr>
          <w:rFonts w:ascii="Arial"/>
          <w:w w:val="95"/>
          <w:sz w:val="22"/>
        </w:rPr>
        <w:t>and</w:t>
      </w:r>
      <w:r>
        <w:rPr>
          <w:rFonts w:ascii="Arial"/>
          <w:spacing w:val="-22"/>
          <w:w w:val="95"/>
          <w:sz w:val="22"/>
        </w:rPr>
        <w:t> </w:t>
      </w:r>
      <w:r>
        <w:rPr>
          <w:rFonts w:ascii="Arial"/>
          <w:w w:val="95"/>
          <w:sz w:val="22"/>
        </w:rPr>
        <w:t>other</w:t>
      </w:r>
      <w:r>
        <w:rPr>
          <w:rFonts w:ascii="Arial"/>
          <w:spacing w:val="-21"/>
          <w:w w:val="95"/>
          <w:sz w:val="22"/>
        </w:rPr>
        <w:t> </w:t>
      </w:r>
      <w:r>
        <w:rPr>
          <w:rFonts w:ascii="Arial"/>
          <w:w w:val="95"/>
          <w:sz w:val="22"/>
        </w:rPr>
        <w:t>applicable</w:t>
      </w:r>
      <w:r>
        <w:rPr>
          <w:rFonts w:ascii="Arial"/>
          <w:spacing w:val="-14"/>
          <w:w w:val="95"/>
          <w:sz w:val="22"/>
        </w:rPr>
        <w:t> </w:t>
      </w:r>
      <w:r>
        <w:rPr>
          <w:rFonts w:ascii="Arial"/>
          <w:w w:val="95"/>
          <w:sz w:val="22"/>
        </w:rPr>
        <w:t>laws. </w:t>
      </w:r>
      <w:r>
        <w:rPr>
          <w:rFonts w:ascii="Arial"/>
          <w:sz w:val="22"/>
        </w:rPr>
        <w:t>For</w:t>
      </w:r>
      <w:r>
        <w:rPr>
          <w:rFonts w:ascii="Arial"/>
          <w:spacing w:val="-24"/>
          <w:sz w:val="22"/>
        </w:rPr>
        <w:t> </w:t>
      </w:r>
      <w:r>
        <w:rPr>
          <w:rFonts w:ascii="Arial"/>
          <w:sz w:val="22"/>
        </w:rPr>
        <w:t>information</w:t>
      </w:r>
      <w:r>
        <w:rPr>
          <w:rFonts w:ascii="Arial"/>
          <w:spacing w:val="-22"/>
          <w:sz w:val="22"/>
        </w:rPr>
        <w:t> </w:t>
      </w:r>
      <w:r>
        <w:rPr>
          <w:rFonts w:ascii="Arial"/>
          <w:sz w:val="22"/>
        </w:rPr>
        <w:t>regarding</w:t>
      </w:r>
      <w:r>
        <w:rPr>
          <w:rFonts w:ascii="Arial"/>
          <w:spacing w:val="-28"/>
          <w:sz w:val="22"/>
        </w:rPr>
        <w:t> </w:t>
      </w:r>
      <w:r>
        <w:rPr>
          <w:rFonts w:ascii="Arial"/>
          <w:sz w:val="22"/>
        </w:rPr>
        <w:t>the</w:t>
      </w:r>
      <w:r>
        <w:rPr>
          <w:rFonts w:ascii="Arial"/>
          <w:spacing w:val="-31"/>
          <w:sz w:val="22"/>
        </w:rPr>
        <w:t> </w:t>
      </w:r>
      <w:r>
        <w:rPr>
          <w:rFonts w:ascii="Arial"/>
          <w:sz w:val="22"/>
        </w:rPr>
        <w:t>identity</w:t>
      </w:r>
      <w:r>
        <w:rPr>
          <w:rFonts w:ascii="Arial"/>
          <w:spacing w:val="-21"/>
          <w:sz w:val="22"/>
        </w:rPr>
        <w:t> </w:t>
      </w:r>
      <w:r>
        <w:rPr>
          <w:rFonts w:ascii="Arial"/>
          <w:sz w:val="22"/>
        </w:rPr>
        <w:t>of</w:t>
      </w:r>
      <w:r>
        <w:rPr>
          <w:rFonts w:ascii="Arial"/>
          <w:spacing w:val="-30"/>
          <w:sz w:val="22"/>
        </w:rPr>
        <w:t> </w:t>
      </w:r>
      <w:r>
        <w:rPr>
          <w:rFonts w:ascii="Arial"/>
          <w:sz w:val="22"/>
        </w:rPr>
        <w:t>the</w:t>
      </w:r>
      <w:r>
        <w:rPr>
          <w:rFonts w:ascii="Arial"/>
          <w:spacing w:val="-33"/>
          <w:sz w:val="22"/>
        </w:rPr>
        <w:t> </w:t>
      </w:r>
      <w:r>
        <w:rPr>
          <w:rFonts w:ascii="Arial"/>
          <w:sz w:val="22"/>
        </w:rPr>
        <w:t>copyright</w:t>
      </w:r>
      <w:r>
        <w:rPr>
          <w:rFonts w:ascii="Arial"/>
          <w:spacing w:val="-27"/>
          <w:sz w:val="22"/>
        </w:rPr>
        <w:t> </w:t>
      </w:r>
      <w:r>
        <w:rPr>
          <w:rFonts w:ascii="Arial"/>
          <w:sz w:val="22"/>
        </w:rPr>
        <w:t>holder,</w:t>
      </w:r>
      <w:r>
        <w:rPr>
          <w:rFonts w:ascii="Arial"/>
          <w:spacing w:val="-27"/>
          <w:sz w:val="22"/>
        </w:rPr>
        <w:t> </w:t>
      </w:r>
      <w:r>
        <w:rPr>
          <w:rFonts w:ascii="Arial"/>
          <w:sz w:val="22"/>
        </w:rPr>
        <w:t>refer</w:t>
      </w:r>
      <w:r>
        <w:rPr>
          <w:rFonts w:ascii="Arial"/>
          <w:spacing w:val="-25"/>
          <w:sz w:val="22"/>
        </w:rPr>
        <w:t> </w:t>
      </w:r>
      <w:r>
        <w:rPr>
          <w:rFonts w:ascii="Arial"/>
          <w:sz w:val="22"/>
        </w:rPr>
        <w:t>to</w:t>
      </w:r>
      <w:r>
        <w:rPr>
          <w:rFonts w:ascii="Arial"/>
          <w:spacing w:val="-31"/>
          <w:sz w:val="22"/>
        </w:rPr>
        <w:t> </w:t>
      </w:r>
      <w:r>
        <w:rPr>
          <w:rFonts w:ascii="Arial"/>
          <w:sz w:val="22"/>
        </w:rPr>
        <w:t>the</w:t>
      </w:r>
      <w:r>
        <w:rPr>
          <w:rFonts w:ascii="Arial"/>
          <w:spacing w:val="-32"/>
          <w:sz w:val="22"/>
        </w:rPr>
        <w:t> </w:t>
      </w:r>
      <w:r>
        <w:rPr>
          <w:rFonts w:ascii="Arial"/>
          <w:sz w:val="22"/>
        </w:rPr>
        <w:t>copyright</w:t>
      </w:r>
      <w:r>
        <w:rPr>
          <w:rFonts w:ascii="Arial"/>
          <w:spacing w:val="-29"/>
          <w:sz w:val="22"/>
        </w:rPr>
        <w:t> </w:t>
      </w:r>
      <w:r>
        <w:rPr>
          <w:rFonts w:ascii="Arial"/>
          <w:sz w:val="22"/>
        </w:rPr>
        <w:t>information</w:t>
      </w:r>
      <w:r>
        <w:rPr>
          <w:rFonts w:ascii="Arial"/>
          <w:spacing w:val="-23"/>
          <w:sz w:val="22"/>
        </w:rPr>
        <w:t> </w:t>
      </w:r>
      <w:r>
        <w:rPr>
          <w:rFonts w:ascii="Arial"/>
          <w:sz w:val="22"/>
        </w:rPr>
        <w:t>in these</w:t>
      </w:r>
      <w:r>
        <w:rPr>
          <w:rFonts w:ascii="Arial"/>
          <w:spacing w:val="-12"/>
          <w:sz w:val="22"/>
        </w:rPr>
        <w:t> </w:t>
      </w:r>
      <w:r>
        <w:rPr>
          <w:rFonts w:ascii="Arial"/>
          <w:sz w:val="22"/>
        </w:rPr>
        <w:t>materials,</w:t>
      </w:r>
      <w:r>
        <w:rPr>
          <w:rFonts w:ascii="Arial"/>
          <w:spacing w:val="-8"/>
          <w:sz w:val="22"/>
        </w:rPr>
        <w:t> </w:t>
      </w:r>
      <w:r>
        <w:rPr>
          <w:rFonts w:ascii="Arial"/>
          <w:sz w:val="22"/>
        </w:rPr>
        <w:t>if</w:t>
      </w:r>
      <w:r>
        <w:rPr>
          <w:rFonts w:ascii="Arial"/>
          <w:spacing w:val="-18"/>
          <w:sz w:val="22"/>
        </w:rPr>
        <w:t> </w:t>
      </w:r>
      <w:r>
        <w:rPr>
          <w:rFonts w:ascii="Arial"/>
          <w:sz w:val="22"/>
        </w:rPr>
        <w:t>available,</w:t>
      </w:r>
      <w:r>
        <w:rPr>
          <w:rFonts w:ascii="Arial"/>
          <w:spacing w:val="-15"/>
          <w:sz w:val="22"/>
        </w:rPr>
        <w:t> </w:t>
      </w:r>
      <w:r>
        <w:rPr>
          <w:rFonts w:ascii="Arial"/>
          <w:sz w:val="22"/>
        </w:rPr>
        <w:t>or</w:t>
      </w:r>
      <w:r>
        <w:rPr>
          <w:rFonts w:ascii="Arial"/>
          <w:spacing w:val="-15"/>
          <w:sz w:val="22"/>
        </w:rPr>
        <w:t> </w:t>
      </w:r>
      <w:r>
        <w:rPr>
          <w:rFonts w:ascii="Arial"/>
          <w:sz w:val="22"/>
        </w:rPr>
        <w:t>contact</w:t>
      </w:r>
      <w:r>
        <w:rPr>
          <w:rFonts w:ascii="Arial"/>
          <w:spacing w:val="3"/>
          <w:sz w:val="22"/>
        </w:rPr>
        <w:t> </w:t>
      </w:r>
      <w:r>
        <w:rPr>
          <w:rFonts w:ascii="Arial"/>
          <w:sz w:val="22"/>
        </w:rPr>
        <w:t>ATLA</w:t>
      </w:r>
      <w:r>
        <w:rPr>
          <w:rFonts w:ascii="Arial"/>
          <w:spacing w:val="-15"/>
          <w:sz w:val="22"/>
        </w:rPr>
        <w:t> </w:t>
      </w:r>
      <w:r>
        <w:rPr>
          <w:rFonts w:ascii="Arial"/>
          <w:sz w:val="22"/>
        </w:rPr>
        <w:t>at</w:t>
      </w:r>
      <w:r>
        <w:rPr>
          <w:rFonts w:ascii="Arial"/>
          <w:spacing w:val="-18"/>
          <w:sz w:val="22"/>
        </w:rPr>
        <w:t> </w:t>
      </w:r>
      <w:hyperlink r:id="rId16">
        <w:r>
          <w:rPr>
            <w:rFonts w:ascii="Arial"/>
            <w:sz w:val="22"/>
          </w:rPr>
          <w:t>products@atla.com.</w:t>
        </w:r>
      </w:hyperlink>
    </w:p>
    <w:p>
      <w:pPr>
        <w:pStyle w:val="BodyText"/>
        <w:spacing w:before="1"/>
        <w:rPr>
          <w:rFonts w:ascii="Arial"/>
          <w:sz w:val="25"/>
        </w:rPr>
      </w:pPr>
    </w:p>
    <w:p>
      <w:pPr>
        <w:spacing w:before="0"/>
        <w:ind w:left="125" w:right="0" w:firstLine="0"/>
        <w:jc w:val="left"/>
        <w:rPr>
          <w:rFonts w:ascii="Arial"/>
          <w:sz w:val="22"/>
        </w:rPr>
      </w:pPr>
      <w:r>
        <w:rPr>
          <w:rFonts w:ascii="Arial"/>
          <w:sz w:val="22"/>
        </w:rPr>
        <w:t>Except as otherwise specified, Copyright 0 2016 American Theological Library Association.</w:t>
      </w:r>
    </w:p>
    <w:sectPr>
      <w:pgSz w:w="12240" w:h="15840"/>
      <w:pgMar w:top="1380" w:bottom="280" w:left="132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8"/>
      <w:szCs w:val="18"/>
      <w:lang w:val="en-US" w:eastAsia="en-US" w:bidi="ar-SA"/>
    </w:rPr>
  </w:style>
  <w:style w:styleId="Heading1" w:type="paragraph">
    <w:name w:val="Heading 1"/>
    <w:basedOn w:val="Normal"/>
    <w:uiPriority w:val="1"/>
    <w:qFormat/>
    <w:pPr>
      <w:ind w:left="119" w:right="62"/>
      <w:outlineLvl w:val="1"/>
    </w:pPr>
    <w:rPr>
      <w:rFonts w:ascii="Arial" w:hAnsi="Arial" w:eastAsia="Arial" w:cs="Arial"/>
      <w:sz w:val="22"/>
      <w:szCs w:val="22"/>
      <w:lang w:val="en-US" w:eastAsia="en-US" w:bidi="ar-SA"/>
    </w:rPr>
  </w:style>
  <w:style w:styleId="Heading2" w:type="paragraph">
    <w:name w:val="Heading 2"/>
    <w:basedOn w:val="Normal"/>
    <w:uiPriority w:val="1"/>
    <w:qFormat/>
    <w:pPr>
      <w:ind w:left="125"/>
      <w:jc w:val="both"/>
      <w:outlineLvl w:val="2"/>
    </w:pPr>
    <w:rPr>
      <w:rFonts w:ascii="Times New Roman" w:hAnsi="Times New Roman" w:eastAsia="Times New Roman" w:cs="Times New Roman"/>
      <w:sz w:val="19"/>
      <w:szCs w:val="19"/>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mailto:products@atl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2021-04-08T00:00:56Z</dcterms:created>
  <dcterms:modified xsi:type="dcterms:W3CDTF">2021-04-08T00:00:56Z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LastSaved">
    <vt:filetime>2021-04-08T00:00:00Z</vt:filetime>
  </property>
</Properties>
</file>